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BA" w:rsidRPr="00002448" w:rsidRDefault="006E3BBA" w:rsidP="006E3BBA">
      <w:pPr>
        <w:tabs>
          <w:tab w:val="left" w:pos="709"/>
        </w:tabs>
        <w:jc w:val="center"/>
        <w:rPr>
          <w:rFonts w:ascii="Arial" w:hAnsi="Arial" w:cs="Arial"/>
          <w:b/>
          <w:bCs/>
          <w:sz w:val="22"/>
          <w:szCs w:val="22"/>
          <w:u w:val="single"/>
        </w:rPr>
      </w:pPr>
      <w:r w:rsidRPr="00002448">
        <w:rPr>
          <w:rFonts w:ascii="Arial" w:hAnsi="Arial" w:cs="Arial"/>
          <w:b/>
          <w:bCs/>
          <w:sz w:val="22"/>
          <w:szCs w:val="22"/>
          <w:u w:val="single"/>
        </w:rPr>
        <w:t xml:space="preserve">CORPORATE SUMMARY </w:t>
      </w:r>
    </w:p>
    <w:p w:rsidR="006E3BBA" w:rsidRPr="00563A52" w:rsidRDefault="006E3BBA" w:rsidP="006E3BBA">
      <w:pPr>
        <w:jc w:val="center"/>
        <w:rPr>
          <w:rFonts w:ascii="Arial" w:hAnsi="Arial" w:cs="Arial"/>
          <w:b/>
          <w:bCs/>
          <w:sz w:val="22"/>
          <w:szCs w:val="22"/>
        </w:rPr>
      </w:pPr>
    </w:p>
    <w:p w:rsidR="006E3BBA" w:rsidRPr="00563A52" w:rsidRDefault="006E3BBA" w:rsidP="006E3BBA">
      <w:pPr>
        <w:rPr>
          <w:rFonts w:ascii="Arial" w:hAnsi="Arial" w:cs="Arial"/>
          <w:b/>
          <w:bCs/>
          <w:sz w:val="22"/>
          <w:szCs w:val="22"/>
        </w:rPr>
      </w:pPr>
    </w:p>
    <w:p w:rsidR="006E3BBA" w:rsidRPr="002F564B" w:rsidRDefault="006E3BBA" w:rsidP="00072889">
      <w:pPr>
        <w:numPr>
          <w:ilvl w:val="0"/>
          <w:numId w:val="4"/>
        </w:numPr>
        <w:tabs>
          <w:tab w:val="clear" w:pos="1080"/>
          <w:tab w:val="num" w:pos="720"/>
        </w:tabs>
        <w:ind w:hanging="796"/>
        <w:rPr>
          <w:rFonts w:ascii="Arial" w:hAnsi="Arial" w:cs="Arial"/>
          <w:b/>
          <w:bCs/>
          <w:sz w:val="22"/>
          <w:szCs w:val="22"/>
          <w:u w:val="single"/>
        </w:rPr>
      </w:pPr>
      <w:r w:rsidRPr="002F564B">
        <w:rPr>
          <w:rFonts w:ascii="Arial" w:hAnsi="Arial" w:cs="Arial"/>
          <w:b/>
          <w:bCs/>
          <w:sz w:val="22"/>
          <w:szCs w:val="22"/>
          <w:u w:val="single"/>
        </w:rPr>
        <w:t>O</w:t>
      </w:r>
      <w:r w:rsidR="002F564B" w:rsidRPr="002F564B">
        <w:rPr>
          <w:rFonts w:ascii="Arial" w:hAnsi="Arial" w:cs="Arial"/>
          <w:b/>
          <w:bCs/>
          <w:sz w:val="22"/>
          <w:szCs w:val="22"/>
          <w:u w:val="single"/>
        </w:rPr>
        <w:t>verall Summary Position</w:t>
      </w:r>
    </w:p>
    <w:p w:rsidR="006E3BBA" w:rsidRDefault="006E3BBA" w:rsidP="006E3BBA">
      <w:pPr>
        <w:rPr>
          <w:rFonts w:ascii="Arial" w:hAnsi="Arial" w:cs="Arial"/>
          <w:bCs/>
          <w:sz w:val="22"/>
          <w:szCs w:val="22"/>
        </w:rPr>
      </w:pPr>
    </w:p>
    <w:p w:rsidR="00A609C1" w:rsidRDefault="00072889" w:rsidP="00072889">
      <w:pPr>
        <w:ind w:left="720" w:hanging="436"/>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A609C1">
        <w:rPr>
          <w:rFonts w:ascii="Arial" w:hAnsi="Arial" w:cs="Arial"/>
          <w:bCs/>
          <w:sz w:val="22"/>
          <w:szCs w:val="22"/>
        </w:rPr>
        <w:t xml:space="preserve">The overall financial position is </w:t>
      </w:r>
      <w:r w:rsidR="003D1007">
        <w:rPr>
          <w:rFonts w:ascii="Arial" w:hAnsi="Arial" w:cs="Arial"/>
          <w:bCs/>
          <w:sz w:val="22"/>
          <w:szCs w:val="22"/>
        </w:rPr>
        <w:t>above</w:t>
      </w:r>
      <w:r w:rsidR="008421E9">
        <w:rPr>
          <w:rFonts w:ascii="Arial" w:hAnsi="Arial" w:cs="Arial"/>
          <w:bCs/>
          <w:sz w:val="22"/>
          <w:szCs w:val="22"/>
        </w:rPr>
        <w:t xml:space="preserve"> target</w:t>
      </w:r>
      <w:r w:rsidR="00A609C1">
        <w:rPr>
          <w:rFonts w:ascii="Arial" w:hAnsi="Arial" w:cs="Arial"/>
          <w:bCs/>
          <w:sz w:val="22"/>
          <w:szCs w:val="22"/>
        </w:rPr>
        <w:t xml:space="preserve"> </w:t>
      </w:r>
      <w:r w:rsidR="002E5F48">
        <w:rPr>
          <w:rFonts w:ascii="Arial" w:hAnsi="Arial" w:cs="Arial"/>
          <w:bCs/>
          <w:sz w:val="22"/>
          <w:szCs w:val="22"/>
        </w:rPr>
        <w:t xml:space="preserve">at the service level </w:t>
      </w:r>
      <w:r w:rsidR="00A609C1">
        <w:rPr>
          <w:rFonts w:ascii="Arial" w:hAnsi="Arial" w:cs="Arial"/>
          <w:bCs/>
          <w:sz w:val="22"/>
          <w:szCs w:val="22"/>
        </w:rPr>
        <w:t xml:space="preserve">with </w:t>
      </w:r>
      <w:r w:rsidR="008421E9">
        <w:rPr>
          <w:rFonts w:ascii="Arial" w:hAnsi="Arial" w:cs="Arial"/>
          <w:bCs/>
          <w:sz w:val="22"/>
          <w:szCs w:val="22"/>
        </w:rPr>
        <w:t xml:space="preserve">additional unbudgeted expenditure </w:t>
      </w:r>
      <w:r w:rsidR="00A609C1">
        <w:rPr>
          <w:rFonts w:ascii="Arial" w:hAnsi="Arial" w:cs="Arial"/>
          <w:bCs/>
          <w:sz w:val="22"/>
          <w:szCs w:val="22"/>
        </w:rPr>
        <w:t>being anticipated on the General Fund</w:t>
      </w:r>
      <w:r w:rsidR="002E5F48">
        <w:rPr>
          <w:rFonts w:ascii="Arial" w:hAnsi="Arial" w:cs="Arial"/>
          <w:bCs/>
          <w:sz w:val="22"/>
          <w:szCs w:val="22"/>
        </w:rPr>
        <w:t>; this is proposed to be funded from a combination of corporate contingency and earmarked reserves</w:t>
      </w:r>
      <w:r w:rsidR="008421E9">
        <w:rPr>
          <w:rFonts w:ascii="Arial" w:hAnsi="Arial" w:cs="Arial"/>
          <w:bCs/>
          <w:sz w:val="22"/>
          <w:szCs w:val="22"/>
        </w:rPr>
        <w:t xml:space="preserve">.  The </w:t>
      </w:r>
      <w:r w:rsidR="00A609C1">
        <w:rPr>
          <w:rFonts w:ascii="Arial" w:hAnsi="Arial" w:cs="Arial"/>
          <w:bCs/>
          <w:sz w:val="22"/>
          <w:szCs w:val="22"/>
        </w:rPr>
        <w:t>Housing Revenue Account</w:t>
      </w:r>
      <w:r w:rsidR="003D1007">
        <w:rPr>
          <w:rFonts w:ascii="Arial" w:hAnsi="Arial" w:cs="Arial"/>
          <w:bCs/>
          <w:sz w:val="22"/>
          <w:szCs w:val="22"/>
        </w:rPr>
        <w:t xml:space="preserve"> is being forecast as on target overall</w:t>
      </w:r>
      <w:r w:rsidR="008421E9">
        <w:rPr>
          <w:rFonts w:ascii="Arial" w:hAnsi="Arial" w:cs="Arial"/>
          <w:bCs/>
          <w:sz w:val="22"/>
          <w:szCs w:val="22"/>
        </w:rPr>
        <w:t>.</w:t>
      </w:r>
    </w:p>
    <w:p w:rsidR="00A609C1" w:rsidRPr="00A609C1" w:rsidRDefault="00A609C1" w:rsidP="006E3BBA">
      <w:pPr>
        <w:ind w:left="720"/>
        <w:rPr>
          <w:rFonts w:ascii="Arial" w:hAnsi="Arial" w:cs="Arial"/>
          <w:bCs/>
          <w:sz w:val="22"/>
          <w:szCs w:val="22"/>
        </w:rPr>
      </w:pPr>
    </w:p>
    <w:p w:rsidR="006E3BBA" w:rsidRDefault="00072889" w:rsidP="00072889">
      <w:pPr>
        <w:ind w:left="720" w:hanging="436"/>
        <w:rPr>
          <w:rFonts w:ascii="Arial" w:hAnsi="Arial" w:cs="Arial"/>
          <w:bCs/>
          <w:sz w:val="22"/>
          <w:szCs w:val="22"/>
        </w:rPr>
      </w:pPr>
      <w:r w:rsidRPr="009B2677">
        <w:rPr>
          <w:rFonts w:ascii="Arial" w:hAnsi="Arial" w:cs="Arial"/>
          <w:bCs/>
          <w:sz w:val="22"/>
          <w:szCs w:val="22"/>
        </w:rPr>
        <w:t>1.2</w:t>
      </w:r>
      <w:r w:rsidRPr="009B2677">
        <w:rPr>
          <w:rFonts w:ascii="Arial" w:hAnsi="Arial" w:cs="Arial"/>
          <w:bCs/>
          <w:sz w:val="22"/>
          <w:szCs w:val="22"/>
        </w:rPr>
        <w:tab/>
      </w:r>
      <w:r w:rsidR="006E3BBA" w:rsidRPr="00F64D82">
        <w:rPr>
          <w:rFonts w:ascii="Arial" w:hAnsi="Arial" w:cs="Arial"/>
          <w:bCs/>
          <w:sz w:val="22"/>
          <w:szCs w:val="22"/>
        </w:rPr>
        <w:t>Of the C</w:t>
      </w:r>
      <w:r w:rsidR="009B2677" w:rsidRPr="00F64D82">
        <w:rPr>
          <w:rFonts w:ascii="Arial" w:hAnsi="Arial" w:cs="Arial"/>
          <w:bCs/>
          <w:sz w:val="22"/>
          <w:szCs w:val="22"/>
        </w:rPr>
        <w:t xml:space="preserve">orporate performance targets, </w:t>
      </w:r>
      <w:r w:rsidR="00F2792F">
        <w:rPr>
          <w:rFonts w:ascii="Arial" w:hAnsi="Arial" w:cs="Arial"/>
          <w:bCs/>
          <w:sz w:val="22"/>
          <w:szCs w:val="22"/>
        </w:rPr>
        <w:t>15</w:t>
      </w:r>
      <w:r w:rsidR="00620EDB" w:rsidRPr="00F64D82">
        <w:rPr>
          <w:rFonts w:ascii="Arial" w:hAnsi="Arial" w:cs="Arial"/>
          <w:bCs/>
          <w:sz w:val="22"/>
          <w:szCs w:val="22"/>
        </w:rPr>
        <w:t xml:space="preserve"> </w:t>
      </w:r>
      <w:r w:rsidR="009B2677" w:rsidRPr="00F64D82">
        <w:rPr>
          <w:rFonts w:ascii="Arial" w:hAnsi="Arial" w:cs="Arial"/>
          <w:bCs/>
          <w:sz w:val="22"/>
          <w:szCs w:val="22"/>
        </w:rPr>
        <w:t>(</w:t>
      </w:r>
      <w:r w:rsidR="00F2792F">
        <w:rPr>
          <w:rFonts w:ascii="Arial" w:hAnsi="Arial" w:cs="Arial"/>
          <w:bCs/>
          <w:sz w:val="22"/>
          <w:szCs w:val="22"/>
        </w:rPr>
        <w:t>79</w:t>
      </w:r>
      <w:r w:rsidR="006E3BBA" w:rsidRPr="00F64D82">
        <w:rPr>
          <w:rFonts w:ascii="Arial" w:hAnsi="Arial" w:cs="Arial"/>
          <w:bCs/>
          <w:sz w:val="22"/>
          <w:szCs w:val="22"/>
        </w:rPr>
        <w:t xml:space="preserve">%) are being delivered as planned, </w:t>
      </w:r>
      <w:r w:rsidR="00F2792F">
        <w:rPr>
          <w:rFonts w:ascii="Arial" w:hAnsi="Arial" w:cs="Arial"/>
          <w:bCs/>
          <w:sz w:val="22"/>
          <w:szCs w:val="22"/>
        </w:rPr>
        <w:t>two</w:t>
      </w:r>
      <w:r w:rsidR="009B2677" w:rsidRPr="00F64D82">
        <w:rPr>
          <w:rFonts w:ascii="Arial" w:hAnsi="Arial" w:cs="Arial"/>
          <w:bCs/>
          <w:sz w:val="22"/>
          <w:szCs w:val="22"/>
        </w:rPr>
        <w:t xml:space="preserve"> (</w:t>
      </w:r>
      <w:r w:rsidR="00F2792F">
        <w:rPr>
          <w:rFonts w:ascii="Arial" w:hAnsi="Arial" w:cs="Arial"/>
          <w:bCs/>
          <w:sz w:val="22"/>
          <w:szCs w:val="22"/>
        </w:rPr>
        <w:t>11</w:t>
      </w:r>
      <w:r w:rsidR="006E3BBA" w:rsidRPr="00F64D82">
        <w:rPr>
          <w:rFonts w:ascii="Arial" w:hAnsi="Arial" w:cs="Arial"/>
          <w:bCs/>
          <w:sz w:val="22"/>
          <w:szCs w:val="22"/>
        </w:rPr>
        <w:t xml:space="preserve">%) </w:t>
      </w:r>
      <w:r w:rsidR="009B2677" w:rsidRPr="00F64D82">
        <w:rPr>
          <w:rFonts w:ascii="Arial" w:hAnsi="Arial" w:cs="Arial"/>
          <w:bCs/>
          <w:sz w:val="22"/>
          <w:szCs w:val="22"/>
        </w:rPr>
        <w:t>are</w:t>
      </w:r>
      <w:r w:rsidR="006E3BBA" w:rsidRPr="00F64D82">
        <w:rPr>
          <w:rFonts w:ascii="Arial" w:hAnsi="Arial" w:cs="Arial"/>
          <w:bCs/>
          <w:sz w:val="22"/>
          <w:szCs w:val="22"/>
        </w:rPr>
        <w:t xml:space="preserve"> below target but within acceptable tolerance limits and </w:t>
      </w:r>
      <w:r w:rsidR="00207373">
        <w:rPr>
          <w:rFonts w:ascii="Arial" w:hAnsi="Arial" w:cs="Arial"/>
          <w:bCs/>
          <w:sz w:val="22"/>
          <w:szCs w:val="22"/>
        </w:rPr>
        <w:t>two</w:t>
      </w:r>
      <w:r w:rsidR="006E3BBA" w:rsidRPr="00F64D82">
        <w:rPr>
          <w:rFonts w:ascii="Arial" w:hAnsi="Arial" w:cs="Arial"/>
          <w:bCs/>
          <w:sz w:val="22"/>
          <w:szCs w:val="22"/>
        </w:rPr>
        <w:t xml:space="preserve"> (</w:t>
      </w:r>
      <w:r w:rsidR="00207373">
        <w:rPr>
          <w:rFonts w:ascii="Arial" w:hAnsi="Arial" w:cs="Arial"/>
          <w:bCs/>
          <w:sz w:val="22"/>
          <w:szCs w:val="22"/>
        </w:rPr>
        <w:t>11</w:t>
      </w:r>
      <w:r w:rsidR="006E3BBA" w:rsidRPr="00F64D82">
        <w:rPr>
          <w:rFonts w:ascii="Arial" w:hAnsi="Arial" w:cs="Arial"/>
          <w:bCs/>
          <w:sz w:val="22"/>
          <w:szCs w:val="22"/>
        </w:rPr>
        <w:t xml:space="preserve">%) </w:t>
      </w:r>
      <w:r w:rsidR="00F2792F">
        <w:rPr>
          <w:rFonts w:ascii="Arial" w:hAnsi="Arial" w:cs="Arial"/>
          <w:bCs/>
          <w:sz w:val="22"/>
          <w:szCs w:val="22"/>
        </w:rPr>
        <w:t>are</w:t>
      </w:r>
      <w:r w:rsidR="006E3BBA" w:rsidRPr="00F64D82">
        <w:rPr>
          <w:rFonts w:ascii="Arial" w:hAnsi="Arial" w:cs="Arial"/>
          <w:bCs/>
          <w:sz w:val="22"/>
          <w:szCs w:val="22"/>
        </w:rPr>
        <w:t xml:space="preserve"> not meeting </w:t>
      </w:r>
      <w:r w:rsidR="00F2792F">
        <w:rPr>
          <w:rFonts w:ascii="Arial" w:hAnsi="Arial" w:cs="Arial"/>
          <w:bCs/>
          <w:sz w:val="22"/>
          <w:szCs w:val="22"/>
        </w:rPr>
        <w:t>their</w:t>
      </w:r>
      <w:r w:rsidR="006E3BBA" w:rsidRPr="00F64D82">
        <w:rPr>
          <w:rFonts w:ascii="Arial" w:hAnsi="Arial" w:cs="Arial"/>
          <w:bCs/>
          <w:sz w:val="22"/>
          <w:szCs w:val="22"/>
        </w:rPr>
        <w:t xml:space="preserve"> target. </w:t>
      </w:r>
      <w:r w:rsidR="00FF5FAC">
        <w:rPr>
          <w:rFonts w:ascii="Arial" w:hAnsi="Arial" w:cs="Arial"/>
          <w:bCs/>
          <w:sz w:val="22"/>
          <w:szCs w:val="22"/>
        </w:rPr>
        <w:t xml:space="preserve"> There are no red corporate risks.</w:t>
      </w:r>
    </w:p>
    <w:p w:rsidR="006E3BBA" w:rsidRPr="00B27023" w:rsidRDefault="006E3BBA" w:rsidP="006E3BBA">
      <w:pPr>
        <w:ind w:left="720"/>
        <w:rPr>
          <w:rFonts w:ascii="Arial" w:hAnsi="Arial" w:cs="Arial"/>
          <w:bCs/>
          <w:sz w:val="22"/>
          <w:szCs w:val="22"/>
        </w:rPr>
      </w:pPr>
    </w:p>
    <w:p w:rsidR="006E3BBA" w:rsidRPr="002F564B" w:rsidRDefault="006E3BBA" w:rsidP="00EB3859">
      <w:pPr>
        <w:numPr>
          <w:ilvl w:val="0"/>
          <w:numId w:val="4"/>
        </w:numPr>
        <w:tabs>
          <w:tab w:val="clear" w:pos="1080"/>
          <w:tab w:val="num" w:pos="709"/>
        </w:tabs>
        <w:ind w:hanging="796"/>
        <w:rPr>
          <w:rFonts w:ascii="Arial" w:hAnsi="Arial" w:cs="Arial"/>
          <w:b/>
          <w:bCs/>
          <w:sz w:val="22"/>
          <w:szCs w:val="22"/>
          <w:u w:val="single"/>
        </w:rPr>
      </w:pPr>
      <w:r w:rsidRPr="002F564B">
        <w:rPr>
          <w:rFonts w:ascii="Arial" w:hAnsi="Arial" w:cs="Arial"/>
          <w:b/>
          <w:bCs/>
          <w:sz w:val="22"/>
          <w:szCs w:val="22"/>
          <w:u w:val="single"/>
        </w:rPr>
        <w:t>F</w:t>
      </w:r>
      <w:r w:rsidR="002F564B" w:rsidRPr="002F564B">
        <w:rPr>
          <w:rFonts w:ascii="Arial" w:hAnsi="Arial" w:cs="Arial"/>
          <w:b/>
          <w:bCs/>
          <w:sz w:val="22"/>
          <w:szCs w:val="22"/>
          <w:u w:val="single"/>
        </w:rPr>
        <w:t>inance Overall and Corporate Budgets</w:t>
      </w:r>
    </w:p>
    <w:p w:rsidR="006E3BBA" w:rsidRPr="00D31CC1" w:rsidRDefault="006E3BBA" w:rsidP="006E3BBA">
      <w:pPr>
        <w:ind w:left="720"/>
        <w:rPr>
          <w:rFonts w:ascii="Arial" w:hAnsi="Arial" w:cs="Arial"/>
          <w:bCs/>
          <w:sz w:val="22"/>
          <w:szCs w:val="22"/>
        </w:rPr>
      </w:pPr>
    </w:p>
    <w:p w:rsidR="006E3BBA" w:rsidRPr="00EB3859" w:rsidRDefault="006E3BBA" w:rsidP="006E3BBA">
      <w:pPr>
        <w:ind w:left="720"/>
        <w:rPr>
          <w:rFonts w:ascii="Arial" w:hAnsi="Arial" w:cs="Arial"/>
          <w:b/>
          <w:bCs/>
          <w:sz w:val="22"/>
          <w:szCs w:val="22"/>
        </w:rPr>
      </w:pPr>
      <w:r w:rsidRPr="00EB3859">
        <w:rPr>
          <w:rFonts w:ascii="Arial" w:hAnsi="Arial" w:cs="Arial"/>
          <w:b/>
          <w:bCs/>
          <w:sz w:val="22"/>
          <w:szCs w:val="22"/>
        </w:rPr>
        <w:t>General Fund</w:t>
      </w:r>
    </w:p>
    <w:p w:rsidR="006E3BBA" w:rsidRDefault="00EB3859" w:rsidP="00EB3859">
      <w:pPr>
        <w:ind w:left="720" w:hanging="436"/>
        <w:rPr>
          <w:rFonts w:ascii="Arial" w:hAnsi="Arial" w:cs="Arial"/>
          <w:bCs/>
          <w:sz w:val="22"/>
          <w:szCs w:val="22"/>
        </w:rPr>
      </w:pPr>
      <w:r>
        <w:rPr>
          <w:rFonts w:ascii="Arial" w:hAnsi="Arial" w:cs="Arial"/>
          <w:bCs/>
          <w:sz w:val="22"/>
          <w:szCs w:val="22"/>
        </w:rPr>
        <w:t>2.1</w:t>
      </w:r>
      <w:r>
        <w:rPr>
          <w:rFonts w:ascii="Arial" w:hAnsi="Arial" w:cs="Arial"/>
          <w:bCs/>
          <w:sz w:val="22"/>
          <w:szCs w:val="22"/>
        </w:rPr>
        <w:tab/>
      </w:r>
      <w:r w:rsidR="006E3BBA">
        <w:rPr>
          <w:rFonts w:ascii="Arial" w:hAnsi="Arial" w:cs="Arial"/>
          <w:bCs/>
          <w:sz w:val="22"/>
          <w:szCs w:val="22"/>
        </w:rPr>
        <w:t xml:space="preserve">The forecast General Fund </w:t>
      </w:r>
      <w:r w:rsidR="006E3BBA" w:rsidRPr="008A4D49">
        <w:rPr>
          <w:rFonts w:ascii="Arial" w:hAnsi="Arial" w:cs="Arial"/>
          <w:bCs/>
          <w:sz w:val="22"/>
          <w:szCs w:val="22"/>
        </w:rPr>
        <w:t xml:space="preserve">outturn position </w:t>
      </w:r>
      <w:r w:rsidR="00A609C1">
        <w:rPr>
          <w:rFonts w:ascii="Arial" w:hAnsi="Arial" w:cs="Arial"/>
          <w:bCs/>
          <w:sz w:val="22"/>
          <w:szCs w:val="22"/>
        </w:rPr>
        <w:t xml:space="preserve">as at the end of Quarter </w:t>
      </w:r>
      <w:r w:rsidR="008421E9">
        <w:rPr>
          <w:rFonts w:ascii="Arial" w:hAnsi="Arial" w:cs="Arial"/>
          <w:bCs/>
          <w:sz w:val="22"/>
          <w:szCs w:val="22"/>
        </w:rPr>
        <w:t>1</w:t>
      </w:r>
      <w:r w:rsidR="00A609C1">
        <w:rPr>
          <w:rFonts w:ascii="Arial" w:hAnsi="Arial" w:cs="Arial"/>
          <w:bCs/>
          <w:sz w:val="22"/>
          <w:szCs w:val="22"/>
        </w:rPr>
        <w:t xml:space="preserve"> </w:t>
      </w:r>
      <w:r w:rsidR="008421E9">
        <w:rPr>
          <w:rFonts w:ascii="Arial" w:hAnsi="Arial" w:cs="Arial"/>
          <w:bCs/>
          <w:sz w:val="22"/>
          <w:szCs w:val="22"/>
        </w:rPr>
        <w:t>shows</w:t>
      </w:r>
      <w:r w:rsidR="006E3BBA" w:rsidRPr="008A4D49">
        <w:rPr>
          <w:rFonts w:ascii="Arial" w:hAnsi="Arial" w:cs="Arial"/>
          <w:bCs/>
          <w:sz w:val="22"/>
          <w:szCs w:val="22"/>
        </w:rPr>
        <w:t xml:space="preserve"> </w:t>
      </w:r>
      <w:r w:rsidR="00620EDB">
        <w:rPr>
          <w:rFonts w:ascii="Arial" w:hAnsi="Arial" w:cs="Arial"/>
          <w:bCs/>
          <w:sz w:val="22"/>
          <w:szCs w:val="22"/>
        </w:rPr>
        <w:t>a</w:t>
      </w:r>
      <w:r w:rsidR="006E3BBA" w:rsidRPr="008A4D49">
        <w:rPr>
          <w:rFonts w:ascii="Arial" w:hAnsi="Arial" w:cs="Arial"/>
          <w:bCs/>
          <w:sz w:val="22"/>
          <w:szCs w:val="22"/>
        </w:rPr>
        <w:t xml:space="preserve"> </w:t>
      </w:r>
      <w:r w:rsidR="006E3BBA" w:rsidRPr="00CB45CA">
        <w:rPr>
          <w:rFonts w:ascii="Arial" w:hAnsi="Arial" w:cs="Arial"/>
          <w:bCs/>
          <w:sz w:val="22"/>
          <w:szCs w:val="22"/>
        </w:rPr>
        <w:t>net</w:t>
      </w:r>
      <w:r w:rsidR="00C532B5" w:rsidRPr="00CB45CA">
        <w:rPr>
          <w:rFonts w:ascii="Arial" w:hAnsi="Arial" w:cs="Arial"/>
          <w:bCs/>
          <w:sz w:val="22"/>
          <w:szCs w:val="22"/>
        </w:rPr>
        <w:t xml:space="preserve"> </w:t>
      </w:r>
      <w:r w:rsidR="006E3BBA" w:rsidRPr="00CB45CA">
        <w:rPr>
          <w:rFonts w:ascii="Arial" w:hAnsi="Arial" w:cs="Arial"/>
          <w:bCs/>
          <w:sz w:val="22"/>
          <w:szCs w:val="22"/>
        </w:rPr>
        <w:t>£</w:t>
      </w:r>
      <w:r w:rsidR="008421E9">
        <w:rPr>
          <w:rFonts w:ascii="Arial" w:hAnsi="Arial" w:cs="Arial"/>
          <w:bCs/>
          <w:sz w:val="22"/>
          <w:szCs w:val="22"/>
        </w:rPr>
        <w:t>0.</w:t>
      </w:r>
      <w:r w:rsidR="007B1B09">
        <w:rPr>
          <w:rFonts w:ascii="Arial" w:hAnsi="Arial" w:cs="Arial"/>
          <w:bCs/>
          <w:sz w:val="22"/>
          <w:szCs w:val="22"/>
        </w:rPr>
        <w:t>385</w:t>
      </w:r>
      <w:r w:rsidR="006E3BBA" w:rsidRPr="00CB45CA">
        <w:rPr>
          <w:rFonts w:ascii="Arial" w:hAnsi="Arial" w:cs="Arial"/>
          <w:bCs/>
          <w:sz w:val="22"/>
          <w:szCs w:val="22"/>
        </w:rPr>
        <w:t xml:space="preserve"> million </w:t>
      </w:r>
      <w:r w:rsidR="008421E9">
        <w:rPr>
          <w:rFonts w:ascii="Arial" w:hAnsi="Arial" w:cs="Arial"/>
          <w:bCs/>
          <w:sz w:val="22"/>
          <w:szCs w:val="22"/>
        </w:rPr>
        <w:t>unbudgeted expenditure being forecast</w:t>
      </w:r>
      <w:r w:rsidR="006E3BBA" w:rsidRPr="00CB45CA">
        <w:rPr>
          <w:rFonts w:ascii="Arial" w:hAnsi="Arial" w:cs="Arial"/>
          <w:bCs/>
          <w:sz w:val="22"/>
          <w:szCs w:val="22"/>
        </w:rPr>
        <w:t>.</w:t>
      </w:r>
    </w:p>
    <w:p w:rsidR="00C532B5" w:rsidRDefault="00C532B5" w:rsidP="006E3BBA">
      <w:pPr>
        <w:ind w:left="720"/>
        <w:rPr>
          <w:rFonts w:ascii="Arial" w:hAnsi="Arial" w:cs="Arial"/>
          <w:bCs/>
          <w:sz w:val="22"/>
          <w:szCs w:val="22"/>
        </w:rPr>
      </w:pPr>
    </w:p>
    <w:p w:rsidR="006E3BBA" w:rsidRPr="006C26CA" w:rsidRDefault="006E3BBA" w:rsidP="006E3BBA">
      <w:pPr>
        <w:ind w:left="709"/>
        <w:rPr>
          <w:rFonts w:ascii="Arial" w:hAnsi="Arial" w:cs="Arial"/>
          <w:b/>
          <w:bCs/>
          <w:sz w:val="22"/>
          <w:szCs w:val="22"/>
        </w:rPr>
      </w:pPr>
      <w:r w:rsidRPr="006C26CA">
        <w:rPr>
          <w:rFonts w:ascii="Arial" w:hAnsi="Arial" w:cs="Arial"/>
          <w:b/>
          <w:bCs/>
          <w:sz w:val="22"/>
          <w:szCs w:val="22"/>
        </w:rPr>
        <w:t>Housing Revenue Account (HRA)</w:t>
      </w:r>
    </w:p>
    <w:p w:rsidR="006C26CA" w:rsidRDefault="006C26CA" w:rsidP="006E3BBA">
      <w:pPr>
        <w:ind w:left="709"/>
        <w:rPr>
          <w:rFonts w:ascii="Arial" w:hAnsi="Arial" w:cs="Arial"/>
          <w:bCs/>
          <w:sz w:val="22"/>
          <w:szCs w:val="22"/>
        </w:rPr>
      </w:pPr>
    </w:p>
    <w:p w:rsidR="006E3BBA" w:rsidRDefault="006C26CA" w:rsidP="002F564B">
      <w:pPr>
        <w:ind w:left="709" w:hanging="425"/>
        <w:rPr>
          <w:rFonts w:ascii="Arial" w:hAnsi="Arial" w:cs="Arial"/>
          <w:bCs/>
          <w:sz w:val="22"/>
          <w:szCs w:val="22"/>
        </w:rPr>
      </w:pPr>
      <w:r w:rsidRPr="003D1007">
        <w:rPr>
          <w:rFonts w:ascii="Arial" w:hAnsi="Arial" w:cs="Arial"/>
          <w:bCs/>
          <w:sz w:val="22"/>
          <w:szCs w:val="22"/>
        </w:rPr>
        <w:t>2.</w:t>
      </w:r>
      <w:r w:rsidR="008421E9" w:rsidRPr="003D1007">
        <w:rPr>
          <w:rFonts w:ascii="Arial" w:hAnsi="Arial" w:cs="Arial"/>
          <w:bCs/>
          <w:sz w:val="22"/>
          <w:szCs w:val="22"/>
        </w:rPr>
        <w:t>2</w:t>
      </w:r>
      <w:r w:rsidRPr="003D1007">
        <w:rPr>
          <w:rFonts w:ascii="Arial" w:hAnsi="Arial" w:cs="Arial"/>
          <w:bCs/>
          <w:sz w:val="22"/>
          <w:szCs w:val="22"/>
        </w:rPr>
        <w:tab/>
      </w:r>
      <w:r w:rsidR="006E3BBA" w:rsidRPr="003D1007">
        <w:rPr>
          <w:rFonts w:ascii="Arial" w:hAnsi="Arial" w:cs="Arial"/>
          <w:bCs/>
          <w:sz w:val="22"/>
          <w:szCs w:val="22"/>
        </w:rPr>
        <w:t>The forecast Housing Revenue Account (HRA) outturn position is a n</w:t>
      </w:r>
      <w:r w:rsidR="009C2057" w:rsidRPr="003D1007">
        <w:rPr>
          <w:rFonts w:ascii="Arial" w:hAnsi="Arial" w:cs="Arial"/>
          <w:bCs/>
          <w:sz w:val="22"/>
          <w:szCs w:val="22"/>
        </w:rPr>
        <w:t>il variance overall as a</w:t>
      </w:r>
      <w:r w:rsidR="006E3BBA" w:rsidRPr="003D1007">
        <w:rPr>
          <w:rFonts w:ascii="Arial" w:hAnsi="Arial" w:cs="Arial"/>
          <w:bCs/>
          <w:sz w:val="22"/>
          <w:szCs w:val="22"/>
        </w:rPr>
        <w:t>t Q</w:t>
      </w:r>
      <w:r w:rsidR="009C2057" w:rsidRPr="003D1007">
        <w:rPr>
          <w:rFonts w:ascii="Arial" w:hAnsi="Arial" w:cs="Arial"/>
          <w:bCs/>
          <w:sz w:val="22"/>
          <w:szCs w:val="22"/>
        </w:rPr>
        <w:t>1.  Within this there are a number of individual variances which are detailed in Appendix D2</w:t>
      </w:r>
      <w:r w:rsidR="00933D36" w:rsidRPr="003D1007">
        <w:rPr>
          <w:rFonts w:ascii="Arial" w:hAnsi="Arial" w:cs="Arial"/>
          <w:bCs/>
          <w:sz w:val="22"/>
          <w:szCs w:val="22"/>
        </w:rPr>
        <w:t>.</w:t>
      </w:r>
    </w:p>
    <w:p w:rsidR="006E3BBA" w:rsidRDefault="006E3BBA" w:rsidP="006E3BBA">
      <w:pPr>
        <w:ind w:left="709"/>
        <w:rPr>
          <w:rFonts w:ascii="Arial" w:hAnsi="Arial" w:cs="Arial"/>
          <w:bCs/>
          <w:sz w:val="22"/>
          <w:szCs w:val="22"/>
        </w:rPr>
      </w:pPr>
    </w:p>
    <w:p w:rsidR="006E3BBA" w:rsidRPr="006C26CA" w:rsidRDefault="006E3BBA" w:rsidP="006E3BBA">
      <w:pPr>
        <w:ind w:left="709"/>
        <w:rPr>
          <w:rFonts w:ascii="Arial" w:hAnsi="Arial" w:cs="Arial"/>
          <w:b/>
          <w:bCs/>
          <w:sz w:val="22"/>
          <w:szCs w:val="22"/>
        </w:rPr>
      </w:pPr>
      <w:r w:rsidRPr="006C26CA">
        <w:rPr>
          <w:rFonts w:ascii="Arial" w:hAnsi="Arial" w:cs="Arial"/>
          <w:b/>
          <w:bCs/>
          <w:sz w:val="22"/>
          <w:szCs w:val="22"/>
        </w:rPr>
        <w:t>Capital</w:t>
      </w:r>
    </w:p>
    <w:p w:rsidR="006C26CA" w:rsidRDefault="006C26CA" w:rsidP="006E3BBA">
      <w:pPr>
        <w:ind w:left="709"/>
        <w:rPr>
          <w:rFonts w:ascii="Arial" w:hAnsi="Arial" w:cs="Arial"/>
          <w:bCs/>
          <w:sz w:val="22"/>
          <w:szCs w:val="22"/>
        </w:rPr>
      </w:pPr>
    </w:p>
    <w:p w:rsidR="00FE5E5F" w:rsidRDefault="006C26CA" w:rsidP="00047892">
      <w:pPr>
        <w:ind w:left="709" w:hanging="425"/>
        <w:rPr>
          <w:rFonts w:ascii="Arial" w:hAnsi="Arial" w:cs="Arial"/>
          <w:bCs/>
          <w:sz w:val="22"/>
          <w:szCs w:val="22"/>
        </w:rPr>
      </w:pPr>
      <w:r w:rsidRPr="00C200C1">
        <w:rPr>
          <w:rFonts w:ascii="Arial" w:hAnsi="Arial" w:cs="Arial"/>
          <w:bCs/>
          <w:sz w:val="22"/>
          <w:szCs w:val="22"/>
        </w:rPr>
        <w:t>2.</w:t>
      </w:r>
      <w:r w:rsidR="008421E9">
        <w:rPr>
          <w:rFonts w:ascii="Arial" w:hAnsi="Arial" w:cs="Arial"/>
          <w:bCs/>
          <w:sz w:val="22"/>
          <w:szCs w:val="22"/>
        </w:rPr>
        <w:t>3</w:t>
      </w:r>
      <w:r w:rsidRPr="00C200C1">
        <w:rPr>
          <w:rFonts w:ascii="Arial" w:hAnsi="Arial" w:cs="Arial"/>
          <w:bCs/>
          <w:sz w:val="22"/>
          <w:szCs w:val="22"/>
        </w:rPr>
        <w:tab/>
      </w:r>
      <w:r w:rsidR="00FE5E5F" w:rsidRPr="00FE5E5F">
        <w:rPr>
          <w:rFonts w:ascii="Arial" w:hAnsi="Arial" w:cs="Arial"/>
          <w:bCs/>
          <w:sz w:val="22"/>
          <w:szCs w:val="22"/>
        </w:rPr>
        <w:t xml:space="preserve">The capital monitoring position as at </w:t>
      </w:r>
      <w:r w:rsidR="008421E9">
        <w:rPr>
          <w:rFonts w:ascii="Arial" w:hAnsi="Arial" w:cs="Arial"/>
          <w:bCs/>
          <w:sz w:val="22"/>
          <w:szCs w:val="22"/>
        </w:rPr>
        <w:t>30</w:t>
      </w:r>
      <w:r w:rsidR="008421E9" w:rsidRPr="008421E9">
        <w:rPr>
          <w:rFonts w:ascii="Arial" w:hAnsi="Arial" w:cs="Arial"/>
          <w:bCs/>
          <w:sz w:val="22"/>
          <w:szCs w:val="22"/>
          <w:vertAlign w:val="superscript"/>
        </w:rPr>
        <w:t>th</w:t>
      </w:r>
      <w:r w:rsidR="008421E9">
        <w:rPr>
          <w:rFonts w:ascii="Arial" w:hAnsi="Arial" w:cs="Arial"/>
          <w:bCs/>
          <w:sz w:val="22"/>
          <w:szCs w:val="22"/>
        </w:rPr>
        <w:t xml:space="preserve"> June 2015</w:t>
      </w:r>
      <w:r w:rsidR="00FE5E5F" w:rsidRPr="00FE5E5F">
        <w:rPr>
          <w:rFonts w:ascii="Arial" w:hAnsi="Arial" w:cs="Arial"/>
          <w:bCs/>
          <w:sz w:val="22"/>
          <w:szCs w:val="22"/>
        </w:rPr>
        <w:t xml:space="preserve"> is shown </w:t>
      </w:r>
      <w:r w:rsidR="00FE5E5F">
        <w:rPr>
          <w:rFonts w:ascii="Arial" w:hAnsi="Arial" w:cs="Arial"/>
          <w:bCs/>
          <w:sz w:val="22"/>
          <w:szCs w:val="22"/>
        </w:rPr>
        <w:t xml:space="preserve">in more detail </w:t>
      </w:r>
      <w:r w:rsidR="00FE5E5F" w:rsidRPr="00FE5E5F">
        <w:rPr>
          <w:rFonts w:ascii="Arial" w:hAnsi="Arial" w:cs="Arial"/>
          <w:bCs/>
          <w:sz w:val="22"/>
          <w:szCs w:val="22"/>
        </w:rPr>
        <w:t xml:space="preserve">at Appendix </w:t>
      </w:r>
      <w:r w:rsidR="008421E9">
        <w:rPr>
          <w:rFonts w:ascii="Arial" w:hAnsi="Arial" w:cs="Arial"/>
          <w:bCs/>
          <w:sz w:val="22"/>
          <w:szCs w:val="22"/>
        </w:rPr>
        <w:t>F</w:t>
      </w:r>
      <w:r w:rsidR="00FE5E5F" w:rsidRPr="00FE5E5F">
        <w:rPr>
          <w:rFonts w:ascii="Arial" w:hAnsi="Arial" w:cs="Arial"/>
          <w:bCs/>
          <w:sz w:val="22"/>
          <w:szCs w:val="22"/>
        </w:rPr>
        <w:t xml:space="preserve">2.  The forecast </w:t>
      </w:r>
      <w:r w:rsidR="00FE5E5F" w:rsidRPr="003D1007">
        <w:rPr>
          <w:rFonts w:ascii="Arial" w:hAnsi="Arial" w:cs="Arial"/>
          <w:bCs/>
          <w:sz w:val="22"/>
          <w:szCs w:val="22"/>
        </w:rPr>
        <w:t xml:space="preserve">outturn </w:t>
      </w:r>
      <w:r w:rsidR="00933D36" w:rsidRPr="003D1007">
        <w:rPr>
          <w:rFonts w:ascii="Arial" w:hAnsi="Arial" w:cs="Arial"/>
          <w:bCs/>
          <w:sz w:val="22"/>
          <w:szCs w:val="22"/>
        </w:rPr>
        <w:t xml:space="preserve">shows a net </w:t>
      </w:r>
      <w:r w:rsidR="003D1007" w:rsidRPr="003D1007">
        <w:rPr>
          <w:rFonts w:ascii="Arial" w:hAnsi="Arial" w:cs="Arial"/>
          <w:bCs/>
          <w:sz w:val="22"/>
          <w:szCs w:val="22"/>
        </w:rPr>
        <w:t xml:space="preserve">forecast </w:t>
      </w:r>
      <w:r w:rsidR="002B6D73">
        <w:rPr>
          <w:rFonts w:ascii="Arial" w:hAnsi="Arial" w:cs="Arial"/>
          <w:bCs/>
          <w:sz w:val="22"/>
          <w:szCs w:val="22"/>
        </w:rPr>
        <w:t>variance</w:t>
      </w:r>
      <w:r w:rsidR="00FE5E5F" w:rsidRPr="003D1007">
        <w:rPr>
          <w:rFonts w:ascii="Arial" w:hAnsi="Arial" w:cs="Arial"/>
          <w:bCs/>
          <w:sz w:val="22"/>
          <w:szCs w:val="22"/>
        </w:rPr>
        <w:t xml:space="preserve"> </w:t>
      </w:r>
      <w:r w:rsidR="00933D36" w:rsidRPr="003D1007">
        <w:rPr>
          <w:rFonts w:ascii="Arial" w:hAnsi="Arial" w:cs="Arial"/>
          <w:bCs/>
          <w:sz w:val="22"/>
          <w:szCs w:val="22"/>
        </w:rPr>
        <w:t>of</w:t>
      </w:r>
      <w:r w:rsidR="00FE5E5F" w:rsidRPr="003D1007">
        <w:rPr>
          <w:rFonts w:ascii="Arial" w:hAnsi="Arial" w:cs="Arial"/>
          <w:bCs/>
          <w:sz w:val="22"/>
          <w:szCs w:val="22"/>
        </w:rPr>
        <w:t xml:space="preserve"> </w:t>
      </w:r>
      <w:r w:rsidR="003D1007" w:rsidRPr="003D1007">
        <w:rPr>
          <w:rFonts w:ascii="Arial" w:hAnsi="Arial" w:cs="Arial"/>
          <w:bCs/>
          <w:sz w:val="22"/>
          <w:szCs w:val="22"/>
        </w:rPr>
        <w:t>0.</w:t>
      </w:r>
      <w:r w:rsidR="003B4F0A">
        <w:rPr>
          <w:rFonts w:ascii="Arial" w:hAnsi="Arial" w:cs="Arial"/>
          <w:bCs/>
          <w:sz w:val="22"/>
          <w:szCs w:val="22"/>
        </w:rPr>
        <w:t>92</w:t>
      </w:r>
      <w:r w:rsidR="000277A4">
        <w:rPr>
          <w:rFonts w:ascii="Arial" w:hAnsi="Arial" w:cs="Arial"/>
          <w:bCs/>
          <w:sz w:val="22"/>
          <w:szCs w:val="22"/>
        </w:rPr>
        <w:t>1</w:t>
      </w:r>
      <w:bookmarkStart w:id="0" w:name="_GoBack"/>
      <w:bookmarkEnd w:id="0"/>
      <w:r w:rsidR="00FE5E5F" w:rsidRPr="003D1007">
        <w:rPr>
          <w:rFonts w:ascii="Arial" w:hAnsi="Arial" w:cs="Arial"/>
          <w:bCs/>
          <w:sz w:val="22"/>
          <w:szCs w:val="22"/>
        </w:rPr>
        <w:t xml:space="preserve"> million.</w:t>
      </w:r>
      <w:r w:rsidR="00047892" w:rsidRPr="003D1007">
        <w:rPr>
          <w:rFonts w:ascii="Arial" w:hAnsi="Arial" w:cs="Arial"/>
          <w:bCs/>
          <w:sz w:val="22"/>
          <w:szCs w:val="22"/>
        </w:rPr>
        <w:t xml:space="preserve">  </w:t>
      </w:r>
      <w:r w:rsidR="00FE5E5F" w:rsidRPr="003D1007">
        <w:rPr>
          <w:rFonts w:ascii="Arial" w:hAnsi="Arial" w:cs="Arial"/>
          <w:bCs/>
          <w:sz w:val="22"/>
          <w:szCs w:val="22"/>
        </w:rPr>
        <w:t>Key variations are detailed below: -</w:t>
      </w:r>
    </w:p>
    <w:p w:rsidR="00EB6F3E" w:rsidRDefault="00EB6F3E" w:rsidP="00FA031A">
      <w:pPr>
        <w:ind w:left="1134"/>
        <w:rPr>
          <w:rFonts w:ascii="Arial" w:hAnsi="Arial" w:cs="Arial"/>
          <w:bCs/>
          <w:sz w:val="22"/>
          <w:szCs w:val="22"/>
          <w:u w:val="single"/>
        </w:rPr>
      </w:pPr>
      <w:r>
        <w:rPr>
          <w:rFonts w:ascii="Arial" w:hAnsi="Arial" w:cs="Arial"/>
          <w:bCs/>
          <w:sz w:val="22"/>
          <w:szCs w:val="22"/>
          <w:u w:val="single"/>
        </w:rPr>
        <w:t>General Fund</w:t>
      </w:r>
    </w:p>
    <w:p w:rsidR="009C2057" w:rsidRPr="00FA031A" w:rsidRDefault="009C2057" w:rsidP="00FA031A">
      <w:pPr>
        <w:ind w:left="1134"/>
        <w:rPr>
          <w:rFonts w:ascii="Arial" w:hAnsi="Arial" w:cs="Arial"/>
          <w:bCs/>
          <w:sz w:val="22"/>
          <w:szCs w:val="22"/>
          <w:u w:val="single"/>
        </w:rPr>
      </w:pPr>
      <w:r w:rsidRPr="00FA031A">
        <w:rPr>
          <w:rFonts w:ascii="Arial" w:hAnsi="Arial" w:cs="Arial"/>
          <w:bCs/>
          <w:sz w:val="22"/>
          <w:szCs w:val="22"/>
          <w:u w:val="single"/>
        </w:rPr>
        <w:t>Over / (Under) spends</w:t>
      </w:r>
    </w:p>
    <w:p w:rsidR="00731114" w:rsidRDefault="00FA031A" w:rsidP="009C2057">
      <w:pPr>
        <w:numPr>
          <w:ilvl w:val="0"/>
          <w:numId w:val="15"/>
        </w:numPr>
        <w:ind w:hanging="229"/>
        <w:rPr>
          <w:rFonts w:ascii="Arial" w:hAnsi="Arial" w:cs="Arial"/>
          <w:bCs/>
          <w:sz w:val="22"/>
          <w:szCs w:val="22"/>
        </w:rPr>
      </w:pPr>
      <w:r>
        <w:rPr>
          <w:rFonts w:ascii="Arial" w:hAnsi="Arial" w:cs="Arial"/>
          <w:bCs/>
          <w:sz w:val="22"/>
          <w:szCs w:val="22"/>
        </w:rPr>
        <w:t xml:space="preserve">The </w:t>
      </w:r>
      <w:r w:rsidR="009C2057" w:rsidRPr="009C2057">
        <w:rPr>
          <w:rFonts w:ascii="Arial" w:hAnsi="Arial" w:cs="Arial"/>
          <w:bCs/>
          <w:sz w:val="22"/>
          <w:szCs w:val="22"/>
        </w:rPr>
        <w:t xml:space="preserve">Work of Art </w:t>
      </w:r>
      <w:r>
        <w:rPr>
          <w:rFonts w:ascii="Arial" w:hAnsi="Arial" w:cs="Arial"/>
          <w:bCs/>
          <w:sz w:val="22"/>
          <w:szCs w:val="22"/>
        </w:rPr>
        <w:t xml:space="preserve">at </w:t>
      </w:r>
      <w:r w:rsidR="009C2057" w:rsidRPr="009C2057">
        <w:rPr>
          <w:rFonts w:ascii="Arial" w:hAnsi="Arial" w:cs="Arial"/>
          <w:bCs/>
          <w:sz w:val="22"/>
          <w:szCs w:val="22"/>
        </w:rPr>
        <w:t>Said Business School</w:t>
      </w:r>
      <w:r>
        <w:rPr>
          <w:rFonts w:ascii="Arial" w:hAnsi="Arial" w:cs="Arial"/>
          <w:bCs/>
          <w:sz w:val="22"/>
          <w:szCs w:val="22"/>
        </w:rPr>
        <w:t xml:space="preserve"> is now going to be delivered by Oxfordshire County Council as part of the works to </w:t>
      </w:r>
      <w:proofErr w:type="spellStart"/>
      <w:r>
        <w:rPr>
          <w:rFonts w:ascii="Arial" w:hAnsi="Arial" w:cs="Arial"/>
          <w:bCs/>
          <w:sz w:val="22"/>
          <w:szCs w:val="22"/>
        </w:rPr>
        <w:t>Frideswide</w:t>
      </w:r>
      <w:proofErr w:type="spellEnd"/>
      <w:r>
        <w:rPr>
          <w:rFonts w:ascii="Arial" w:hAnsi="Arial" w:cs="Arial"/>
          <w:bCs/>
          <w:sz w:val="22"/>
          <w:szCs w:val="22"/>
        </w:rPr>
        <w:t xml:space="preserve"> Square, saving the Council £(0.050) million</w:t>
      </w:r>
    </w:p>
    <w:p w:rsidR="003D1007" w:rsidRDefault="003D1007" w:rsidP="009C2057">
      <w:pPr>
        <w:numPr>
          <w:ilvl w:val="0"/>
          <w:numId w:val="15"/>
        </w:numPr>
        <w:ind w:hanging="229"/>
        <w:rPr>
          <w:rFonts w:ascii="Arial" w:hAnsi="Arial" w:cs="Arial"/>
          <w:bCs/>
          <w:sz w:val="22"/>
          <w:szCs w:val="22"/>
        </w:rPr>
      </w:pPr>
      <w:r>
        <w:rPr>
          <w:rFonts w:ascii="Arial" w:hAnsi="Arial" w:cs="Arial"/>
          <w:bCs/>
          <w:sz w:val="22"/>
          <w:szCs w:val="22"/>
        </w:rPr>
        <w:t>The Barns Road settlement has now been agreed resulting in additional expenditure of £0.035 million</w:t>
      </w:r>
    </w:p>
    <w:p w:rsidR="00031D25" w:rsidRDefault="00031D25" w:rsidP="009C2057">
      <w:pPr>
        <w:numPr>
          <w:ilvl w:val="0"/>
          <w:numId w:val="15"/>
        </w:numPr>
        <w:ind w:hanging="229"/>
        <w:rPr>
          <w:rFonts w:ascii="Arial" w:hAnsi="Arial" w:cs="Arial"/>
          <w:bCs/>
          <w:sz w:val="22"/>
          <w:szCs w:val="22"/>
        </w:rPr>
      </w:pPr>
      <w:r w:rsidRPr="006B7005">
        <w:rPr>
          <w:rFonts w:ascii="Arial" w:hAnsi="Arial" w:cs="Arial"/>
          <w:bCs/>
          <w:sz w:val="22"/>
          <w:szCs w:val="22"/>
        </w:rPr>
        <w:t>Additional budget for 2015/16 activity is requested for parks works of £0.</w:t>
      </w:r>
      <w:r w:rsidR="00EB6F3E">
        <w:rPr>
          <w:rFonts w:ascii="Arial" w:hAnsi="Arial" w:cs="Arial"/>
          <w:bCs/>
          <w:sz w:val="22"/>
          <w:szCs w:val="22"/>
        </w:rPr>
        <w:t>1</w:t>
      </w:r>
      <w:r w:rsidR="005137FD">
        <w:rPr>
          <w:rFonts w:ascii="Arial" w:hAnsi="Arial" w:cs="Arial"/>
          <w:bCs/>
          <w:sz w:val="22"/>
          <w:szCs w:val="22"/>
        </w:rPr>
        <w:t>15</w:t>
      </w:r>
      <w:r w:rsidRPr="006B7005">
        <w:rPr>
          <w:rFonts w:ascii="Arial" w:hAnsi="Arial" w:cs="Arial"/>
          <w:bCs/>
          <w:sz w:val="22"/>
          <w:szCs w:val="22"/>
        </w:rPr>
        <w:t>k which will be financed from grant funding received</w:t>
      </w:r>
    </w:p>
    <w:p w:rsidR="00FA031A" w:rsidRPr="00FA031A" w:rsidRDefault="00FA031A" w:rsidP="00FA031A">
      <w:pPr>
        <w:ind w:left="1080"/>
        <w:rPr>
          <w:rFonts w:ascii="Arial" w:hAnsi="Arial" w:cs="Arial"/>
          <w:bCs/>
          <w:sz w:val="22"/>
          <w:szCs w:val="22"/>
          <w:u w:val="single"/>
        </w:rPr>
      </w:pPr>
      <w:r w:rsidRPr="00FA031A">
        <w:rPr>
          <w:rFonts w:ascii="Arial" w:hAnsi="Arial" w:cs="Arial"/>
          <w:bCs/>
          <w:sz w:val="22"/>
          <w:szCs w:val="22"/>
          <w:u w:val="single"/>
        </w:rPr>
        <w:t>Budget movements between years</w:t>
      </w:r>
    </w:p>
    <w:p w:rsidR="00FA031A" w:rsidRDefault="00FA031A" w:rsidP="009C2057">
      <w:pPr>
        <w:numPr>
          <w:ilvl w:val="0"/>
          <w:numId w:val="15"/>
        </w:numPr>
        <w:ind w:hanging="229"/>
        <w:rPr>
          <w:rFonts w:ascii="Arial" w:hAnsi="Arial" w:cs="Arial"/>
          <w:bCs/>
          <w:sz w:val="22"/>
          <w:szCs w:val="22"/>
        </w:rPr>
      </w:pPr>
      <w:r>
        <w:rPr>
          <w:rFonts w:ascii="Arial" w:hAnsi="Arial" w:cs="Arial"/>
          <w:bCs/>
          <w:sz w:val="22"/>
          <w:szCs w:val="22"/>
        </w:rPr>
        <w:t>The refurbishments to the Covered Market are now forecast to commence in April 2016 resulting in a movement of budget from 2015/16 to 2016/17 of £(0.227) million</w:t>
      </w:r>
    </w:p>
    <w:p w:rsidR="00FA031A" w:rsidRDefault="00FA031A" w:rsidP="009C2057">
      <w:pPr>
        <w:numPr>
          <w:ilvl w:val="0"/>
          <w:numId w:val="15"/>
        </w:numPr>
        <w:ind w:hanging="229"/>
        <w:rPr>
          <w:rFonts w:ascii="Arial" w:hAnsi="Arial" w:cs="Arial"/>
          <w:bCs/>
          <w:sz w:val="22"/>
          <w:szCs w:val="22"/>
        </w:rPr>
      </w:pPr>
      <w:r>
        <w:rPr>
          <w:rFonts w:ascii="Arial" w:hAnsi="Arial" w:cs="Arial"/>
          <w:bCs/>
          <w:sz w:val="22"/>
          <w:szCs w:val="22"/>
        </w:rPr>
        <w:t>Work</w:t>
      </w:r>
      <w:r w:rsidR="003D1007">
        <w:rPr>
          <w:rFonts w:ascii="Arial" w:hAnsi="Arial" w:cs="Arial"/>
          <w:bCs/>
          <w:sz w:val="22"/>
          <w:szCs w:val="22"/>
        </w:rPr>
        <w:t>s</w:t>
      </w:r>
      <w:r>
        <w:rPr>
          <w:rFonts w:ascii="Arial" w:hAnsi="Arial" w:cs="Arial"/>
          <w:bCs/>
          <w:sz w:val="22"/>
          <w:szCs w:val="22"/>
        </w:rPr>
        <w:t xml:space="preserve"> on Bury </w:t>
      </w:r>
      <w:proofErr w:type="spellStart"/>
      <w:r>
        <w:rPr>
          <w:rFonts w:ascii="Arial" w:hAnsi="Arial" w:cs="Arial"/>
          <w:bCs/>
          <w:sz w:val="22"/>
          <w:szCs w:val="22"/>
        </w:rPr>
        <w:t>Knowle</w:t>
      </w:r>
      <w:proofErr w:type="spellEnd"/>
      <w:r>
        <w:rPr>
          <w:rFonts w:ascii="Arial" w:hAnsi="Arial" w:cs="Arial"/>
          <w:bCs/>
          <w:sz w:val="22"/>
          <w:szCs w:val="22"/>
        </w:rPr>
        <w:t xml:space="preserve"> House </w:t>
      </w:r>
      <w:r w:rsidRPr="00FA031A">
        <w:rPr>
          <w:rFonts w:ascii="Arial" w:hAnsi="Arial" w:cs="Arial"/>
          <w:bCs/>
          <w:sz w:val="22"/>
          <w:szCs w:val="22"/>
        </w:rPr>
        <w:t>are now forecast to commence in April 2016 resulting in a movement of budget from 2015/16 to 2016/17 of £(0.</w:t>
      </w:r>
      <w:r>
        <w:rPr>
          <w:rFonts w:ascii="Arial" w:hAnsi="Arial" w:cs="Arial"/>
          <w:bCs/>
          <w:sz w:val="22"/>
          <w:szCs w:val="22"/>
        </w:rPr>
        <w:t>088</w:t>
      </w:r>
      <w:r w:rsidRPr="00FA031A">
        <w:rPr>
          <w:rFonts w:ascii="Arial" w:hAnsi="Arial" w:cs="Arial"/>
          <w:bCs/>
          <w:sz w:val="22"/>
          <w:szCs w:val="22"/>
        </w:rPr>
        <w:t>) million</w:t>
      </w:r>
    </w:p>
    <w:p w:rsidR="00EB6F3E" w:rsidRDefault="00EB6F3E" w:rsidP="009C2057">
      <w:pPr>
        <w:numPr>
          <w:ilvl w:val="0"/>
          <w:numId w:val="15"/>
        </w:numPr>
        <w:ind w:hanging="229"/>
        <w:rPr>
          <w:rFonts w:ascii="Arial" w:hAnsi="Arial" w:cs="Arial"/>
          <w:bCs/>
          <w:sz w:val="22"/>
          <w:szCs w:val="22"/>
        </w:rPr>
      </w:pPr>
      <w:r>
        <w:rPr>
          <w:rFonts w:ascii="Arial" w:hAnsi="Arial" w:cs="Arial"/>
          <w:bCs/>
          <w:sz w:val="22"/>
          <w:szCs w:val="22"/>
        </w:rPr>
        <w:t>The £0.500 million contribution towards the County Council Western Conveyance Channel project is not likely to be needed until 2016/17 due to delays relating to grant funding bid results.</w:t>
      </w:r>
    </w:p>
    <w:p w:rsidR="003B4F0A" w:rsidRDefault="003B4F0A" w:rsidP="009C2057">
      <w:pPr>
        <w:numPr>
          <w:ilvl w:val="0"/>
          <w:numId w:val="15"/>
        </w:numPr>
        <w:ind w:hanging="229"/>
        <w:rPr>
          <w:rFonts w:ascii="Arial" w:hAnsi="Arial" w:cs="Arial"/>
          <w:bCs/>
          <w:sz w:val="22"/>
          <w:szCs w:val="22"/>
        </w:rPr>
      </w:pPr>
      <w:r w:rsidRPr="003B4F0A">
        <w:rPr>
          <w:rFonts w:ascii="Arial" w:hAnsi="Arial" w:cs="Arial"/>
          <w:bCs/>
          <w:sz w:val="22"/>
          <w:szCs w:val="22"/>
        </w:rPr>
        <w:t>A match funding bid is being su</w:t>
      </w:r>
      <w:r>
        <w:rPr>
          <w:rFonts w:ascii="Arial" w:hAnsi="Arial" w:cs="Arial"/>
          <w:bCs/>
          <w:sz w:val="22"/>
          <w:szCs w:val="22"/>
        </w:rPr>
        <w:t>b</w:t>
      </w:r>
      <w:r w:rsidRPr="003B4F0A">
        <w:rPr>
          <w:rFonts w:ascii="Arial" w:hAnsi="Arial" w:cs="Arial"/>
          <w:bCs/>
          <w:sz w:val="22"/>
          <w:szCs w:val="22"/>
        </w:rPr>
        <w:t>mitted for the Stage 2 Museum of Oxford Development, the results of which will not be known until March 2016; the budget of £0.434 million is therefore expected to slip into 2016/17.</w:t>
      </w:r>
    </w:p>
    <w:p w:rsidR="00EB6F3E" w:rsidRPr="00EB6F3E" w:rsidRDefault="00EB6F3E" w:rsidP="00EB6F3E">
      <w:pPr>
        <w:ind w:left="1080"/>
        <w:rPr>
          <w:rFonts w:ascii="Arial" w:hAnsi="Arial" w:cs="Arial"/>
          <w:bCs/>
          <w:sz w:val="22"/>
          <w:szCs w:val="22"/>
          <w:u w:val="single"/>
        </w:rPr>
      </w:pPr>
      <w:r w:rsidRPr="00EB6F3E">
        <w:rPr>
          <w:rFonts w:ascii="Arial" w:hAnsi="Arial" w:cs="Arial"/>
          <w:bCs/>
          <w:sz w:val="22"/>
          <w:szCs w:val="22"/>
          <w:u w:val="single"/>
        </w:rPr>
        <w:t>HRA</w:t>
      </w:r>
    </w:p>
    <w:p w:rsidR="00EB6F3E" w:rsidRPr="00FA031A" w:rsidRDefault="00EB6F3E" w:rsidP="00EB6F3E">
      <w:pPr>
        <w:ind w:left="1080"/>
        <w:rPr>
          <w:rFonts w:ascii="Arial" w:hAnsi="Arial" w:cs="Arial"/>
          <w:bCs/>
          <w:sz w:val="22"/>
          <w:szCs w:val="22"/>
          <w:u w:val="single"/>
        </w:rPr>
      </w:pPr>
      <w:r>
        <w:rPr>
          <w:rFonts w:ascii="Arial" w:hAnsi="Arial" w:cs="Arial"/>
          <w:bCs/>
          <w:sz w:val="22"/>
          <w:szCs w:val="22"/>
          <w:u w:val="single"/>
        </w:rPr>
        <w:t>Virements</w:t>
      </w:r>
    </w:p>
    <w:p w:rsidR="00EB6F3E" w:rsidRDefault="00EB6F3E" w:rsidP="009C2057">
      <w:pPr>
        <w:numPr>
          <w:ilvl w:val="0"/>
          <w:numId w:val="15"/>
        </w:numPr>
        <w:ind w:hanging="229"/>
        <w:rPr>
          <w:rFonts w:ascii="Arial" w:hAnsi="Arial" w:cs="Arial"/>
          <w:bCs/>
          <w:sz w:val="22"/>
          <w:szCs w:val="22"/>
        </w:rPr>
      </w:pPr>
      <w:r>
        <w:rPr>
          <w:rFonts w:ascii="Arial" w:hAnsi="Arial" w:cs="Arial"/>
          <w:bCs/>
          <w:sz w:val="22"/>
          <w:szCs w:val="22"/>
        </w:rPr>
        <w:t xml:space="preserve">It is proposed to </w:t>
      </w:r>
      <w:proofErr w:type="spellStart"/>
      <w:r>
        <w:rPr>
          <w:rFonts w:ascii="Arial" w:hAnsi="Arial" w:cs="Arial"/>
          <w:bCs/>
          <w:sz w:val="22"/>
          <w:szCs w:val="22"/>
        </w:rPr>
        <w:t>vire</w:t>
      </w:r>
      <w:proofErr w:type="spellEnd"/>
      <w:r>
        <w:rPr>
          <w:rFonts w:ascii="Arial" w:hAnsi="Arial" w:cs="Arial"/>
          <w:bCs/>
          <w:sz w:val="22"/>
          <w:szCs w:val="22"/>
        </w:rPr>
        <w:t xml:space="preserve"> £0.025 million from the Investment Programme Delivery budget to Heating to provide a budget for the </w:t>
      </w:r>
      <w:proofErr w:type="spellStart"/>
      <w:r>
        <w:rPr>
          <w:rFonts w:ascii="Arial" w:hAnsi="Arial" w:cs="Arial"/>
          <w:bCs/>
          <w:sz w:val="22"/>
          <w:szCs w:val="22"/>
        </w:rPr>
        <w:t>Lambourn</w:t>
      </w:r>
      <w:proofErr w:type="spellEnd"/>
      <w:r>
        <w:rPr>
          <w:rFonts w:ascii="Arial" w:hAnsi="Arial" w:cs="Arial"/>
          <w:bCs/>
          <w:sz w:val="22"/>
          <w:szCs w:val="22"/>
        </w:rPr>
        <w:t xml:space="preserve"> Road air source heat pump.</w:t>
      </w:r>
    </w:p>
    <w:p w:rsidR="00EB3859" w:rsidRDefault="00EB3859" w:rsidP="006E3BBA">
      <w:pPr>
        <w:ind w:left="709"/>
        <w:rPr>
          <w:rFonts w:ascii="Arial" w:hAnsi="Arial" w:cs="Arial"/>
          <w:bCs/>
          <w:sz w:val="22"/>
          <w:szCs w:val="22"/>
        </w:rPr>
      </w:pPr>
    </w:p>
    <w:p w:rsidR="00EB3859" w:rsidRPr="002F564B" w:rsidRDefault="00EB3859" w:rsidP="00EB3859">
      <w:pPr>
        <w:ind w:left="709"/>
        <w:rPr>
          <w:rFonts w:ascii="Arial" w:hAnsi="Arial" w:cs="Arial"/>
          <w:b/>
          <w:bCs/>
          <w:sz w:val="22"/>
          <w:szCs w:val="22"/>
        </w:rPr>
      </w:pPr>
      <w:r w:rsidRPr="002F564B">
        <w:rPr>
          <w:rFonts w:ascii="Arial" w:hAnsi="Arial" w:cs="Arial"/>
          <w:b/>
          <w:bCs/>
          <w:sz w:val="22"/>
          <w:szCs w:val="22"/>
        </w:rPr>
        <w:t>Savings and Efficiencies</w:t>
      </w:r>
    </w:p>
    <w:p w:rsidR="006B206F" w:rsidRDefault="006B206F" w:rsidP="00EB3859">
      <w:pPr>
        <w:ind w:left="709"/>
        <w:rPr>
          <w:rFonts w:ascii="Arial" w:hAnsi="Arial" w:cs="Arial"/>
          <w:bCs/>
          <w:sz w:val="22"/>
          <w:szCs w:val="22"/>
        </w:rPr>
      </w:pPr>
    </w:p>
    <w:p w:rsidR="006B206F" w:rsidRPr="006B206F" w:rsidRDefault="00EB3859" w:rsidP="00C200C1">
      <w:pPr>
        <w:ind w:left="709" w:hanging="425"/>
        <w:rPr>
          <w:rFonts w:ascii="Arial" w:hAnsi="Arial" w:cs="Arial"/>
          <w:bCs/>
          <w:sz w:val="22"/>
          <w:szCs w:val="22"/>
        </w:rPr>
      </w:pPr>
      <w:r w:rsidRPr="00EB3859">
        <w:rPr>
          <w:rFonts w:ascii="Arial" w:hAnsi="Arial" w:cs="Arial"/>
          <w:bCs/>
          <w:sz w:val="22"/>
          <w:szCs w:val="22"/>
        </w:rPr>
        <w:t>2.</w:t>
      </w:r>
      <w:r w:rsidR="00C200C1">
        <w:rPr>
          <w:rFonts w:ascii="Arial" w:hAnsi="Arial" w:cs="Arial"/>
          <w:bCs/>
          <w:sz w:val="22"/>
          <w:szCs w:val="22"/>
        </w:rPr>
        <w:t>6</w:t>
      </w:r>
      <w:r w:rsidRPr="00EB3859">
        <w:rPr>
          <w:rFonts w:ascii="Arial" w:hAnsi="Arial" w:cs="Arial"/>
          <w:bCs/>
          <w:sz w:val="22"/>
          <w:szCs w:val="22"/>
        </w:rPr>
        <w:tab/>
      </w:r>
      <w:r w:rsidR="006B206F" w:rsidRPr="006B206F">
        <w:rPr>
          <w:rFonts w:ascii="Arial" w:hAnsi="Arial" w:cs="Arial"/>
          <w:bCs/>
          <w:sz w:val="22"/>
          <w:szCs w:val="22"/>
        </w:rPr>
        <w:t>The Council’s budget identifies £</w:t>
      </w:r>
      <w:r w:rsidR="00C65431">
        <w:rPr>
          <w:rFonts w:ascii="Arial" w:hAnsi="Arial" w:cs="Arial"/>
          <w:bCs/>
          <w:sz w:val="22"/>
          <w:szCs w:val="22"/>
        </w:rPr>
        <w:t>1.228</w:t>
      </w:r>
      <w:r w:rsidR="006B206F" w:rsidRPr="006B206F">
        <w:rPr>
          <w:rFonts w:ascii="Arial" w:hAnsi="Arial" w:cs="Arial"/>
          <w:bCs/>
          <w:sz w:val="22"/>
          <w:szCs w:val="22"/>
        </w:rPr>
        <w:t xml:space="preserve"> million of efficiencies, £0.</w:t>
      </w:r>
      <w:r w:rsidR="00C65431">
        <w:rPr>
          <w:rFonts w:ascii="Arial" w:hAnsi="Arial" w:cs="Arial"/>
          <w:bCs/>
          <w:sz w:val="22"/>
          <w:szCs w:val="22"/>
        </w:rPr>
        <w:t>526</w:t>
      </w:r>
      <w:r w:rsidR="006B206F" w:rsidRPr="006B206F">
        <w:rPr>
          <w:rFonts w:ascii="Arial" w:hAnsi="Arial" w:cs="Arial"/>
          <w:bCs/>
          <w:sz w:val="22"/>
          <w:szCs w:val="22"/>
        </w:rPr>
        <w:t xml:space="preserve"> million of service reductions and £</w:t>
      </w:r>
      <w:r w:rsidR="00C65431">
        <w:rPr>
          <w:rFonts w:ascii="Arial" w:hAnsi="Arial" w:cs="Arial"/>
          <w:bCs/>
          <w:sz w:val="22"/>
          <w:szCs w:val="22"/>
        </w:rPr>
        <w:t>1.368</w:t>
      </w:r>
      <w:r w:rsidR="006B206F" w:rsidRPr="006B206F">
        <w:rPr>
          <w:rFonts w:ascii="Arial" w:hAnsi="Arial" w:cs="Arial"/>
          <w:bCs/>
          <w:sz w:val="22"/>
          <w:szCs w:val="22"/>
        </w:rPr>
        <w:t xml:space="preserve"> million of additional fees and charges for 201</w:t>
      </w:r>
      <w:r w:rsidR="00C65431">
        <w:rPr>
          <w:rFonts w:ascii="Arial" w:hAnsi="Arial" w:cs="Arial"/>
          <w:bCs/>
          <w:sz w:val="22"/>
          <w:szCs w:val="22"/>
        </w:rPr>
        <w:t>5</w:t>
      </w:r>
      <w:r w:rsidR="006B206F" w:rsidRPr="006B206F">
        <w:rPr>
          <w:rFonts w:ascii="Arial" w:hAnsi="Arial" w:cs="Arial"/>
          <w:bCs/>
          <w:sz w:val="22"/>
          <w:szCs w:val="22"/>
        </w:rPr>
        <w:t>/1</w:t>
      </w:r>
      <w:r w:rsidR="00C65431">
        <w:rPr>
          <w:rFonts w:ascii="Arial" w:hAnsi="Arial" w:cs="Arial"/>
          <w:bCs/>
          <w:sz w:val="22"/>
          <w:szCs w:val="22"/>
        </w:rPr>
        <w:t>6</w:t>
      </w:r>
      <w:r w:rsidR="006B206F" w:rsidRPr="006B206F">
        <w:rPr>
          <w:rFonts w:ascii="Arial" w:hAnsi="Arial" w:cs="Arial"/>
          <w:bCs/>
          <w:sz w:val="22"/>
          <w:szCs w:val="22"/>
        </w:rPr>
        <w:t>; a total of £</w:t>
      </w:r>
      <w:r w:rsidR="00C65431">
        <w:rPr>
          <w:rFonts w:ascii="Arial" w:hAnsi="Arial" w:cs="Arial"/>
          <w:bCs/>
          <w:sz w:val="22"/>
          <w:szCs w:val="22"/>
        </w:rPr>
        <w:t>3</w:t>
      </w:r>
      <w:r w:rsidR="006B206F" w:rsidRPr="006B206F">
        <w:rPr>
          <w:rFonts w:ascii="Arial" w:hAnsi="Arial" w:cs="Arial"/>
          <w:bCs/>
          <w:sz w:val="22"/>
          <w:szCs w:val="22"/>
        </w:rPr>
        <w:t>.12</w:t>
      </w:r>
      <w:r w:rsidR="00C65431">
        <w:rPr>
          <w:rFonts w:ascii="Arial" w:hAnsi="Arial" w:cs="Arial"/>
          <w:bCs/>
          <w:sz w:val="22"/>
          <w:szCs w:val="22"/>
        </w:rPr>
        <w:t>2</w:t>
      </w:r>
      <w:r w:rsidR="006B206F" w:rsidRPr="006B206F">
        <w:rPr>
          <w:rFonts w:ascii="Arial" w:hAnsi="Arial" w:cs="Arial"/>
          <w:bCs/>
          <w:sz w:val="22"/>
          <w:szCs w:val="22"/>
        </w:rPr>
        <w:t xml:space="preserve"> million savings and efficiencies.  As at the end of </w:t>
      </w:r>
      <w:r w:rsidR="00C65431">
        <w:rPr>
          <w:rFonts w:ascii="Arial" w:hAnsi="Arial" w:cs="Arial"/>
          <w:bCs/>
          <w:sz w:val="22"/>
          <w:szCs w:val="22"/>
        </w:rPr>
        <w:t>June</w:t>
      </w:r>
      <w:r w:rsidR="006B206F" w:rsidRPr="006B206F">
        <w:rPr>
          <w:rFonts w:ascii="Arial" w:hAnsi="Arial" w:cs="Arial"/>
          <w:bCs/>
          <w:sz w:val="22"/>
          <w:szCs w:val="22"/>
        </w:rPr>
        <w:t xml:space="preserve"> it is anticipated that </w:t>
      </w:r>
      <w:r w:rsidR="00C65431">
        <w:rPr>
          <w:rFonts w:ascii="Arial" w:hAnsi="Arial" w:cs="Arial"/>
          <w:bCs/>
          <w:sz w:val="22"/>
          <w:szCs w:val="22"/>
        </w:rPr>
        <w:t xml:space="preserve">all </w:t>
      </w:r>
      <w:r w:rsidR="00C65431" w:rsidRPr="00C65431">
        <w:rPr>
          <w:rFonts w:ascii="Arial" w:hAnsi="Arial" w:cs="Arial"/>
          <w:bCs/>
          <w:sz w:val="22"/>
          <w:szCs w:val="22"/>
        </w:rPr>
        <w:t xml:space="preserve">savings and efficiencies </w:t>
      </w:r>
      <w:r w:rsidR="006B206F" w:rsidRPr="006B206F">
        <w:rPr>
          <w:rFonts w:ascii="Arial" w:hAnsi="Arial" w:cs="Arial"/>
          <w:bCs/>
          <w:sz w:val="22"/>
          <w:szCs w:val="22"/>
        </w:rPr>
        <w:t>will be delivered</w:t>
      </w:r>
      <w:r w:rsidR="00C2567C">
        <w:rPr>
          <w:rFonts w:ascii="Arial" w:hAnsi="Arial" w:cs="Arial"/>
          <w:bCs/>
          <w:sz w:val="22"/>
          <w:szCs w:val="22"/>
        </w:rPr>
        <w:t>.</w:t>
      </w:r>
    </w:p>
    <w:p w:rsidR="006B206F" w:rsidRPr="006B206F" w:rsidRDefault="006B206F" w:rsidP="006B206F">
      <w:pPr>
        <w:ind w:left="709"/>
        <w:rPr>
          <w:rFonts w:ascii="Arial" w:hAnsi="Arial" w:cs="Arial"/>
          <w:bCs/>
          <w:sz w:val="22"/>
          <w:szCs w:val="22"/>
        </w:rPr>
      </w:pPr>
    </w:p>
    <w:p w:rsidR="006B206F" w:rsidRDefault="006C26CA" w:rsidP="00C200C1">
      <w:pPr>
        <w:ind w:left="709" w:hanging="425"/>
        <w:rPr>
          <w:rFonts w:ascii="Arial" w:hAnsi="Arial" w:cs="Arial"/>
          <w:bCs/>
          <w:sz w:val="22"/>
          <w:szCs w:val="22"/>
        </w:rPr>
      </w:pPr>
      <w:r>
        <w:rPr>
          <w:rFonts w:ascii="Arial" w:hAnsi="Arial" w:cs="Arial"/>
          <w:bCs/>
          <w:sz w:val="22"/>
          <w:szCs w:val="22"/>
        </w:rPr>
        <w:lastRenderedPageBreak/>
        <w:t>2.</w:t>
      </w:r>
      <w:r w:rsidR="00C200C1">
        <w:rPr>
          <w:rFonts w:ascii="Arial" w:hAnsi="Arial" w:cs="Arial"/>
          <w:bCs/>
          <w:sz w:val="22"/>
          <w:szCs w:val="22"/>
        </w:rPr>
        <w:t>7</w:t>
      </w:r>
      <w:r>
        <w:rPr>
          <w:rFonts w:ascii="Arial" w:hAnsi="Arial" w:cs="Arial"/>
          <w:bCs/>
          <w:sz w:val="22"/>
          <w:szCs w:val="22"/>
        </w:rPr>
        <w:tab/>
      </w:r>
      <w:r w:rsidR="006B206F" w:rsidRPr="006B206F">
        <w:rPr>
          <w:rFonts w:ascii="Arial" w:hAnsi="Arial" w:cs="Arial"/>
          <w:bCs/>
          <w:sz w:val="22"/>
          <w:szCs w:val="22"/>
        </w:rPr>
        <w:t xml:space="preserve">Cumulative efficiencies, service reductions and additional fees and charges achieved as at the end of </w:t>
      </w:r>
      <w:r w:rsidR="00C65431">
        <w:rPr>
          <w:rFonts w:ascii="Arial" w:hAnsi="Arial" w:cs="Arial"/>
          <w:bCs/>
          <w:sz w:val="22"/>
          <w:szCs w:val="22"/>
        </w:rPr>
        <w:t>June</w:t>
      </w:r>
      <w:r w:rsidR="006B206F" w:rsidRPr="008A32F2">
        <w:rPr>
          <w:rFonts w:ascii="Arial" w:hAnsi="Arial" w:cs="Arial"/>
          <w:bCs/>
          <w:sz w:val="22"/>
          <w:szCs w:val="22"/>
        </w:rPr>
        <w:t xml:space="preserve"> were £</w:t>
      </w:r>
      <w:r w:rsidR="00C65431">
        <w:rPr>
          <w:rFonts w:ascii="Arial" w:hAnsi="Arial" w:cs="Arial"/>
          <w:bCs/>
          <w:sz w:val="22"/>
          <w:szCs w:val="22"/>
        </w:rPr>
        <w:t>0.777</w:t>
      </w:r>
      <w:r w:rsidR="006B206F" w:rsidRPr="008A32F2">
        <w:rPr>
          <w:rFonts w:ascii="Arial" w:hAnsi="Arial" w:cs="Arial"/>
          <w:bCs/>
          <w:sz w:val="22"/>
          <w:szCs w:val="22"/>
        </w:rPr>
        <w:t xml:space="preserve"> million.</w:t>
      </w:r>
    </w:p>
    <w:p w:rsidR="006E3BBA" w:rsidRPr="005E1EAE" w:rsidRDefault="006E3BBA" w:rsidP="006E3BBA">
      <w:pPr>
        <w:ind w:left="709"/>
        <w:rPr>
          <w:rFonts w:ascii="Arial" w:hAnsi="Arial" w:cs="Arial"/>
          <w:bCs/>
          <w:sz w:val="22"/>
          <w:szCs w:val="22"/>
        </w:rPr>
      </w:pPr>
    </w:p>
    <w:p w:rsidR="006E3BBA" w:rsidRPr="00563A52" w:rsidRDefault="006E3BBA" w:rsidP="006C26CA">
      <w:pPr>
        <w:ind w:left="720" w:hanging="436"/>
        <w:rPr>
          <w:rFonts w:ascii="Arial" w:hAnsi="Arial" w:cs="Arial"/>
          <w:b/>
          <w:bCs/>
          <w:sz w:val="22"/>
          <w:szCs w:val="22"/>
        </w:rPr>
      </w:pPr>
      <w:r w:rsidRPr="00563A52">
        <w:rPr>
          <w:rFonts w:ascii="Arial" w:hAnsi="Arial" w:cs="Arial"/>
          <w:b/>
          <w:bCs/>
          <w:sz w:val="22"/>
          <w:szCs w:val="22"/>
        </w:rPr>
        <w:t>3</w:t>
      </w:r>
      <w:r w:rsidRPr="00563A52">
        <w:rPr>
          <w:rFonts w:ascii="Arial" w:hAnsi="Arial" w:cs="Arial"/>
          <w:b/>
          <w:bCs/>
          <w:sz w:val="22"/>
          <w:szCs w:val="22"/>
        </w:rPr>
        <w:tab/>
      </w:r>
      <w:r w:rsidR="00C2567C" w:rsidRPr="00C2567C">
        <w:rPr>
          <w:rFonts w:ascii="Arial" w:hAnsi="Arial" w:cs="Arial"/>
          <w:b/>
          <w:bCs/>
          <w:sz w:val="22"/>
          <w:szCs w:val="22"/>
          <w:u w:val="single"/>
        </w:rPr>
        <w:t xml:space="preserve">Corporate </w:t>
      </w:r>
      <w:r w:rsidRPr="00C2567C">
        <w:rPr>
          <w:rFonts w:ascii="Arial" w:hAnsi="Arial" w:cs="Arial"/>
          <w:b/>
          <w:bCs/>
          <w:sz w:val="22"/>
          <w:szCs w:val="22"/>
          <w:u w:val="single"/>
        </w:rPr>
        <w:t>P</w:t>
      </w:r>
      <w:r w:rsidR="002F564B" w:rsidRPr="002F564B">
        <w:rPr>
          <w:rFonts w:ascii="Arial" w:hAnsi="Arial" w:cs="Arial"/>
          <w:b/>
          <w:bCs/>
          <w:sz w:val="22"/>
          <w:szCs w:val="22"/>
          <w:u w:val="single"/>
        </w:rPr>
        <w:t xml:space="preserve">erformance </w:t>
      </w:r>
      <w:r w:rsidR="00C2567C">
        <w:rPr>
          <w:rFonts w:ascii="Arial" w:hAnsi="Arial" w:cs="Arial"/>
          <w:b/>
          <w:bCs/>
          <w:sz w:val="22"/>
          <w:szCs w:val="22"/>
          <w:u w:val="single"/>
        </w:rPr>
        <w:t>Exceptions</w:t>
      </w:r>
    </w:p>
    <w:p w:rsidR="006E3BBA" w:rsidRDefault="006E3BBA" w:rsidP="006E3BBA">
      <w:pPr>
        <w:ind w:left="720"/>
        <w:rPr>
          <w:rFonts w:ascii="Arial" w:hAnsi="Arial" w:cs="Arial"/>
          <w:b/>
          <w:bCs/>
          <w:sz w:val="22"/>
          <w:szCs w:val="22"/>
        </w:rPr>
      </w:pPr>
    </w:p>
    <w:p w:rsidR="006E3BBA" w:rsidRPr="009B2677" w:rsidRDefault="006C26CA" w:rsidP="006C26CA">
      <w:pPr>
        <w:ind w:left="720" w:hanging="436"/>
        <w:rPr>
          <w:rFonts w:ascii="Arial" w:hAnsi="Arial" w:cs="Arial"/>
          <w:bCs/>
          <w:sz w:val="22"/>
          <w:szCs w:val="22"/>
        </w:rPr>
      </w:pPr>
      <w:r w:rsidRPr="009B2677">
        <w:rPr>
          <w:rFonts w:ascii="Arial" w:hAnsi="Arial" w:cs="Arial"/>
          <w:bCs/>
          <w:sz w:val="22"/>
          <w:szCs w:val="22"/>
        </w:rPr>
        <w:t>3.1</w:t>
      </w:r>
      <w:r w:rsidRPr="009B2677">
        <w:rPr>
          <w:rFonts w:ascii="Arial" w:hAnsi="Arial" w:cs="Arial"/>
          <w:bCs/>
          <w:sz w:val="22"/>
          <w:szCs w:val="22"/>
        </w:rPr>
        <w:tab/>
      </w:r>
      <w:r w:rsidR="006E3BBA" w:rsidRPr="009B2677">
        <w:rPr>
          <w:rFonts w:ascii="Arial" w:hAnsi="Arial" w:cs="Arial"/>
          <w:b/>
          <w:bCs/>
          <w:sz w:val="22"/>
          <w:szCs w:val="22"/>
        </w:rPr>
        <w:t xml:space="preserve">Overall the Council’s performance against its corporate targets is </w:t>
      </w:r>
      <w:r w:rsidR="00F64D82">
        <w:rPr>
          <w:rFonts w:ascii="Arial" w:hAnsi="Arial" w:cs="Arial"/>
          <w:b/>
          <w:bCs/>
          <w:sz w:val="22"/>
          <w:szCs w:val="22"/>
        </w:rPr>
        <w:t>Good</w:t>
      </w:r>
      <w:r w:rsidR="006E3BBA" w:rsidRPr="009B2677">
        <w:rPr>
          <w:rFonts w:ascii="Arial" w:hAnsi="Arial" w:cs="Arial"/>
          <w:bCs/>
          <w:sz w:val="22"/>
          <w:szCs w:val="22"/>
        </w:rPr>
        <w:t xml:space="preserve"> with </w:t>
      </w:r>
      <w:r w:rsidR="00F2792F">
        <w:rPr>
          <w:rFonts w:ascii="Arial" w:hAnsi="Arial" w:cs="Arial"/>
          <w:bCs/>
          <w:sz w:val="22"/>
          <w:szCs w:val="22"/>
        </w:rPr>
        <w:t>15 (79</w:t>
      </w:r>
      <w:r w:rsidR="00F64D82" w:rsidRPr="00F64D82">
        <w:rPr>
          <w:rFonts w:ascii="Arial" w:hAnsi="Arial" w:cs="Arial"/>
          <w:bCs/>
          <w:sz w:val="22"/>
          <w:szCs w:val="22"/>
        </w:rPr>
        <w:t xml:space="preserve">%) being delivered as planned, </w:t>
      </w:r>
      <w:r w:rsidR="00F2792F">
        <w:rPr>
          <w:rFonts w:ascii="Arial" w:hAnsi="Arial" w:cs="Arial"/>
          <w:bCs/>
          <w:sz w:val="22"/>
          <w:szCs w:val="22"/>
        </w:rPr>
        <w:t>two</w:t>
      </w:r>
      <w:r w:rsidR="00F64D82" w:rsidRPr="00F64D82">
        <w:rPr>
          <w:rFonts w:ascii="Arial" w:hAnsi="Arial" w:cs="Arial"/>
          <w:bCs/>
          <w:sz w:val="22"/>
          <w:szCs w:val="22"/>
        </w:rPr>
        <w:t xml:space="preserve"> (</w:t>
      </w:r>
      <w:r w:rsidR="00F2792F">
        <w:rPr>
          <w:rFonts w:ascii="Arial" w:hAnsi="Arial" w:cs="Arial"/>
          <w:bCs/>
          <w:sz w:val="22"/>
          <w:szCs w:val="22"/>
        </w:rPr>
        <w:t>11</w:t>
      </w:r>
      <w:r w:rsidR="00F64D82" w:rsidRPr="00F64D82">
        <w:rPr>
          <w:rFonts w:ascii="Arial" w:hAnsi="Arial" w:cs="Arial"/>
          <w:bCs/>
          <w:sz w:val="22"/>
          <w:szCs w:val="22"/>
        </w:rPr>
        <w:t xml:space="preserve">%) below target but within acceptable tolerance limits and </w:t>
      </w:r>
      <w:r w:rsidR="000200EB">
        <w:rPr>
          <w:rFonts w:ascii="Arial" w:hAnsi="Arial" w:cs="Arial"/>
          <w:bCs/>
          <w:sz w:val="22"/>
          <w:szCs w:val="22"/>
        </w:rPr>
        <w:t>two</w:t>
      </w:r>
      <w:r w:rsidR="00F64D82" w:rsidRPr="00F64D82">
        <w:rPr>
          <w:rFonts w:ascii="Arial" w:hAnsi="Arial" w:cs="Arial"/>
          <w:bCs/>
          <w:sz w:val="22"/>
          <w:szCs w:val="22"/>
        </w:rPr>
        <w:t xml:space="preserve"> (</w:t>
      </w:r>
      <w:r w:rsidR="00207373">
        <w:rPr>
          <w:rFonts w:ascii="Arial" w:hAnsi="Arial" w:cs="Arial"/>
          <w:bCs/>
          <w:sz w:val="22"/>
          <w:szCs w:val="22"/>
        </w:rPr>
        <w:t>11</w:t>
      </w:r>
      <w:r w:rsidR="00F64D82" w:rsidRPr="00F64D82">
        <w:rPr>
          <w:rFonts w:ascii="Arial" w:hAnsi="Arial" w:cs="Arial"/>
          <w:bCs/>
          <w:sz w:val="22"/>
          <w:szCs w:val="22"/>
        </w:rPr>
        <w:t xml:space="preserve">%) not meeting </w:t>
      </w:r>
      <w:r w:rsidR="000200EB">
        <w:rPr>
          <w:rFonts w:ascii="Arial" w:hAnsi="Arial" w:cs="Arial"/>
          <w:bCs/>
          <w:sz w:val="22"/>
          <w:szCs w:val="22"/>
        </w:rPr>
        <w:t>their</w:t>
      </w:r>
      <w:r w:rsidR="00F64D82" w:rsidRPr="00F64D82">
        <w:rPr>
          <w:rFonts w:ascii="Arial" w:hAnsi="Arial" w:cs="Arial"/>
          <w:bCs/>
          <w:sz w:val="22"/>
          <w:szCs w:val="22"/>
        </w:rPr>
        <w:t xml:space="preserve"> target</w:t>
      </w:r>
      <w:r w:rsidR="000200EB">
        <w:rPr>
          <w:rFonts w:ascii="Arial" w:hAnsi="Arial" w:cs="Arial"/>
          <w:bCs/>
          <w:sz w:val="22"/>
          <w:szCs w:val="22"/>
        </w:rPr>
        <w:t>s</w:t>
      </w:r>
      <w:r w:rsidR="00F64D82" w:rsidRPr="00F64D82">
        <w:rPr>
          <w:rFonts w:ascii="Arial" w:hAnsi="Arial" w:cs="Arial"/>
          <w:bCs/>
          <w:sz w:val="22"/>
          <w:szCs w:val="22"/>
        </w:rPr>
        <w:t>.</w:t>
      </w:r>
      <w:r w:rsidR="006E3BBA" w:rsidRPr="009B2677">
        <w:rPr>
          <w:rFonts w:ascii="Arial" w:hAnsi="Arial" w:cs="Arial"/>
          <w:bCs/>
          <w:sz w:val="22"/>
          <w:szCs w:val="22"/>
        </w:rPr>
        <w:t xml:space="preserve"> Exceptions to targeted performance are set out below</w:t>
      </w:r>
    </w:p>
    <w:p w:rsidR="009B2677" w:rsidRDefault="009B2677" w:rsidP="006C26CA">
      <w:pPr>
        <w:ind w:left="720" w:hanging="436"/>
        <w:rPr>
          <w:rFonts w:ascii="Arial" w:hAnsi="Arial" w:cs="Arial"/>
          <w:bCs/>
          <w:sz w:val="22"/>
          <w:szCs w:val="22"/>
          <w:highlight w:val="yellow"/>
        </w:rPr>
      </w:pPr>
    </w:p>
    <w:p w:rsidR="009C779D" w:rsidRDefault="00F64D82" w:rsidP="006E3BBA">
      <w:pPr>
        <w:ind w:left="720"/>
        <w:rPr>
          <w:rFonts w:ascii="Arial" w:hAnsi="Arial" w:cs="Arial"/>
          <w:b/>
          <w:bCs/>
          <w:sz w:val="22"/>
          <w:szCs w:val="22"/>
        </w:rPr>
      </w:pPr>
      <w:r>
        <w:rPr>
          <w:rFonts w:ascii="Arial" w:hAnsi="Arial" w:cs="Arial"/>
          <w:b/>
          <w:bCs/>
          <w:sz w:val="22"/>
          <w:szCs w:val="22"/>
        </w:rPr>
        <w:t>Amber</w:t>
      </w:r>
      <w:r w:rsidR="009C779D">
        <w:rPr>
          <w:rFonts w:ascii="Arial" w:hAnsi="Arial" w:cs="Arial"/>
          <w:b/>
          <w:bCs/>
          <w:sz w:val="22"/>
          <w:szCs w:val="22"/>
        </w:rPr>
        <w:t>:</w:t>
      </w:r>
    </w:p>
    <w:p w:rsidR="009C779D" w:rsidRPr="006C26CA" w:rsidRDefault="009C779D" w:rsidP="009C779D">
      <w:pPr>
        <w:ind w:left="720"/>
        <w:rPr>
          <w:rFonts w:ascii="Arial" w:hAnsi="Arial" w:cs="Arial"/>
          <w:bCs/>
          <w:sz w:val="22"/>
          <w:szCs w:val="22"/>
          <w:highlight w:val="yellow"/>
        </w:rPr>
      </w:pPr>
    </w:p>
    <w:p w:rsidR="009C779D" w:rsidRDefault="009C779D" w:rsidP="009C779D">
      <w:pPr>
        <w:ind w:left="720" w:hanging="436"/>
        <w:rPr>
          <w:rFonts w:ascii="Arial" w:hAnsi="Arial" w:cs="Arial"/>
          <w:sz w:val="22"/>
          <w:szCs w:val="22"/>
        </w:rPr>
      </w:pPr>
      <w:r w:rsidRPr="009C779D">
        <w:rPr>
          <w:rFonts w:ascii="Arial" w:hAnsi="Arial" w:cs="Arial"/>
          <w:sz w:val="22"/>
          <w:szCs w:val="22"/>
        </w:rPr>
        <w:t>3.2</w:t>
      </w:r>
      <w:r w:rsidRPr="009C779D">
        <w:rPr>
          <w:rFonts w:ascii="Arial" w:hAnsi="Arial" w:cs="Arial"/>
          <w:sz w:val="22"/>
          <w:szCs w:val="22"/>
        </w:rPr>
        <w:tab/>
      </w:r>
      <w:r w:rsidR="00F64D82" w:rsidRPr="00F64D82">
        <w:rPr>
          <w:rFonts w:ascii="Arial" w:hAnsi="Arial" w:cs="Arial"/>
          <w:b/>
          <w:sz w:val="22"/>
          <w:szCs w:val="22"/>
        </w:rPr>
        <w:t>Vibrant and Sustainable Economy:</w:t>
      </w:r>
      <w:r w:rsidR="00F64D82">
        <w:rPr>
          <w:rFonts w:ascii="Arial" w:hAnsi="Arial" w:cs="Arial"/>
          <w:sz w:val="22"/>
          <w:szCs w:val="22"/>
        </w:rPr>
        <w:t xml:space="preserve"> The number of training places and jobs created as a result of Council investment and leadership – current performance is 432 jobs and training places against a first quarter target of 456. However, information has not yet been received from two construction contractors, and so may be higher than shown. We are pressing for missing data</w:t>
      </w:r>
    </w:p>
    <w:p w:rsidR="00F2792F" w:rsidRDefault="00F2792F" w:rsidP="009C779D">
      <w:pPr>
        <w:ind w:left="720" w:hanging="436"/>
        <w:rPr>
          <w:rFonts w:ascii="Arial" w:hAnsi="Arial" w:cs="Arial"/>
          <w:sz w:val="22"/>
          <w:szCs w:val="22"/>
        </w:rPr>
      </w:pPr>
    </w:p>
    <w:p w:rsidR="00F2792F" w:rsidRDefault="00F2792F" w:rsidP="009C779D">
      <w:pPr>
        <w:ind w:left="720" w:hanging="436"/>
        <w:rPr>
          <w:rFonts w:ascii="Arial" w:hAnsi="Arial" w:cs="Arial"/>
          <w:sz w:val="22"/>
          <w:szCs w:val="22"/>
        </w:rPr>
      </w:pPr>
      <w:r>
        <w:rPr>
          <w:rFonts w:ascii="Arial" w:hAnsi="Arial" w:cs="Arial"/>
          <w:sz w:val="22"/>
          <w:szCs w:val="22"/>
        </w:rPr>
        <w:t>3.3</w:t>
      </w:r>
      <w:r>
        <w:rPr>
          <w:rFonts w:ascii="Arial" w:hAnsi="Arial" w:cs="Arial"/>
          <w:sz w:val="22"/>
          <w:szCs w:val="22"/>
        </w:rPr>
        <w:tab/>
      </w:r>
      <w:r w:rsidRPr="00F2792F">
        <w:rPr>
          <w:rFonts w:ascii="Arial" w:hAnsi="Arial" w:cs="Arial"/>
          <w:b/>
          <w:sz w:val="22"/>
          <w:szCs w:val="22"/>
        </w:rPr>
        <w:t>Efficient and Effective Council:</w:t>
      </w:r>
      <w:r>
        <w:rPr>
          <w:rFonts w:ascii="Arial" w:hAnsi="Arial" w:cs="Arial"/>
          <w:sz w:val="22"/>
          <w:szCs w:val="22"/>
        </w:rPr>
        <w:t xml:space="preserve"> The delivery of the Council’s efficiency savings – savings to date are £776,567 and marginally under the June target of £780,000. </w:t>
      </w:r>
      <w:r w:rsidR="00715236" w:rsidRPr="00715236">
        <w:rPr>
          <w:rFonts w:ascii="Arial" w:hAnsi="Arial" w:cs="Arial"/>
          <w:sz w:val="22"/>
          <w:szCs w:val="22"/>
        </w:rPr>
        <w:t xml:space="preserve">The budgeted £17k Policy Review service reduction </w:t>
      </w:r>
      <w:r w:rsidR="00715236">
        <w:rPr>
          <w:rFonts w:ascii="Arial" w:hAnsi="Arial" w:cs="Arial"/>
          <w:sz w:val="22"/>
          <w:szCs w:val="22"/>
        </w:rPr>
        <w:t xml:space="preserve">in </w:t>
      </w:r>
      <w:r w:rsidR="00715236" w:rsidRPr="00715236">
        <w:rPr>
          <w:rFonts w:ascii="Arial" w:hAnsi="Arial" w:cs="Arial"/>
          <w:sz w:val="22"/>
          <w:szCs w:val="22"/>
        </w:rPr>
        <w:t>the Assistant Chief Exec</w:t>
      </w:r>
      <w:r w:rsidR="00715236">
        <w:rPr>
          <w:rFonts w:ascii="Arial" w:hAnsi="Arial" w:cs="Arial"/>
          <w:sz w:val="22"/>
          <w:szCs w:val="22"/>
        </w:rPr>
        <w:t>’s</w:t>
      </w:r>
      <w:r w:rsidR="00715236" w:rsidRPr="00715236">
        <w:rPr>
          <w:rFonts w:ascii="Arial" w:hAnsi="Arial" w:cs="Arial"/>
          <w:sz w:val="22"/>
          <w:szCs w:val="22"/>
        </w:rPr>
        <w:t xml:space="preserve"> section is currently not being achieved against the profile, although it is currently expected to be achieved by the end of the year.</w:t>
      </w:r>
    </w:p>
    <w:p w:rsidR="00F64D82" w:rsidRDefault="00F64D82" w:rsidP="009C779D">
      <w:pPr>
        <w:ind w:left="720" w:hanging="436"/>
        <w:rPr>
          <w:rFonts w:ascii="Arial" w:hAnsi="Arial" w:cs="Arial"/>
          <w:sz w:val="22"/>
          <w:szCs w:val="22"/>
        </w:rPr>
      </w:pPr>
    </w:p>
    <w:p w:rsidR="006E3BBA" w:rsidRPr="00850BC1" w:rsidRDefault="006E3BBA" w:rsidP="006E3BBA">
      <w:pPr>
        <w:ind w:left="720"/>
        <w:rPr>
          <w:rFonts w:ascii="Arial" w:hAnsi="Arial" w:cs="Arial"/>
          <w:b/>
          <w:bCs/>
          <w:sz w:val="22"/>
          <w:szCs w:val="22"/>
        </w:rPr>
      </w:pPr>
      <w:r w:rsidRPr="00850BC1">
        <w:rPr>
          <w:rFonts w:ascii="Arial" w:hAnsi="Arial" w:cs="Arial"/>
          <w:b/>
          <w:bCs/>
          <w:sz w:val="22"/>
          <w:szCs w:val="22"/>
        </w:rPr>
        <w:t>Red:</w:t>
      </w:r>
    </w:p>
    <w:p w:rsidR="006E3BBA" w:rsidRPr="006C26CA" w:rsidRDefault="006E3BBA" w:rsidP="006E3BBA">
      <w:pPr>
        <w:ind w:left="720"/>
        <w:rPr>
          <w:rFonts w:ascii="Arial" w:hAnsi="Arial" w:cs="Arial"/>
          <w:bCs/>
          <w:sz w:val="22"/>
          <w:szCs w:val="22"/>
          <w:highlight w:val="yellow"/>
        </w:rPr>
      </w:pPr>
    </w:p>
    <w:p w:rsidR="00C65431" w:rsidRDefault="006C26CA" w:rsidP="00C65431">
      <w:pPr>
        <w:ind w:left="720" w:hanging="436"/>
        <w:rPr>
          <w:rFonts w:ascii="Arial" w:hAnsi="Arial" w:cs="Arial"/>
          <w:sz w:val="22"/>
          <w:szCs w:val="22"/>
        </w:rPr>
      </w:pPr>
      <w:r w:rsidRPr="00850BC1">
        <w:rPr>
          <w:rFonts w:ascii="Arial" w:hAnsi="Arial" w:cs="Arial"/>
          <w:bCs/>
          <w:sz w:val="22"/>
          <w:szCs w:val="22"/>
        </w:rPr>
        <w:t>3.3</w:t>
      </w:r>
      <w:r w:rsidRPr="00850BC1">
        <w:rPr>
          <w:rFonts w:ascii="Arial" w:hAnsi="Arial" w:cs="Arial"/>
          <w:bCs/>
          <w:sz w:val="22"/>
          <w:szCs w:val="22"/>
        </w:rPr>
        <w:tab/>
      </w:r>
      <w:r w:rsidR="00F64D82" w:rsidRPr="00F64D82">
        <w:rPr>
          <w:rFonts w:ascii="Arial" w:hAnsi="Arial" w:cs="Arial"/>
          <w:b/>
          <w:sz w:val="22"/>
          <w:szCs w:val="22"/>
        </w:rPr>
        <w:t>Vibrant and Sustainable Economy:</w:t>
      </w:r>
      <w:r w:rsidR="00F64D82">
        <w:rPr>
          <w:rFonts w:ascii="Arial" w:hAnsi="Arial" w:cs="Arial"/>
          <w:sz w:val="22"/>
          <w:szCs w:val="22"/>
        </w:rPr>
        <w:t xml:space="preserve"> The number of Council apprenticeships created through Council investment for those who live in Oxford – 18 apprentices were employed in June, short of the target of 26. However, information has not yet been received from two construction contractors, and so may be higher than shown. We are pressing for </w:t>
      </w:r>
      <w:r w:rsidR="00F2792F">
        <w:rPr>
          <w:rFonts w:ascii="Arial" w:hAnsi="Arial" w:cs="Arial"/>
          <w:sz w:val="22"/>
          <w:szCs w:val="22"/>
        </w:rPr>
        <w:t xml:space="preserve">the </w:t>
      </w:r>
      <w:r w:rsidR="00F64D82">
        <w:rPr>
          <w:rFonts w:ascii="Arial" w:hAnsi="Arial" w:cs="Arial"/>
          <w:sz w:val="22"/>
          <w:szCs w:val="22"/>
        </w:rPr>
        <w:t>missing data</w:t>
      </w:r>
      <w:r w:rsidR="00F2792F">
        <w:rPr>
          <w:rFonts w:ascii="Arial" w:hAnsi="Arial" w:cs="Arial"/>
          <w:sz w:val="22"/>
          <w:szCs w:val="22"/>
        </w:rPr>
        <w:t xml:space="preserve">. </w:t>
      </w:r>
    </w:p>
    <w:p w:rsidR="00F64D82" w:rsidRDefault="00F64D82" w:rsidP="00C65431">
      <w:pPr>
        <w:ind w:left="720" w:hanging="436"/>
        <w:rPr>
          <w:rFonts w:ascii="Arial" w:hAnsi="Arial" w:cs="Arial"/>
          <w:sz w:val="22"/>
          <w:szCs w:val="22"/>
        </w:rPr>
      </w:pPr>
    </w:p>
    <w:p w:rsidR="00F64D82" w:rsidRPr="002350A4" w:rsidRDefault="00F64D82" w:rsidP="00C65431">
      <w:pPr>
        <w:ind w:left="720" w:hanging="436"/>
        <w:rPr>
          <w:rFonts w:ascii="Arial" w:hAnsi="Arial" w:cs="Arial"/>
          <w:bCs/>
          <w:sz w:val="22"/>
          <w:szCs w:val="22"/>
        </w:rPr>
      </w:pPr>
      <w:r>
        <w:rPr>
          <w:rFonts w:ascii="Arial" w:hAnsi="Arial" w:cs="Arial"/>
          <w:sz w:val="22"/>
          <w:szCs w:val="22"/>
        </w:rPr>
        <w:t>3.4</w:t>
      </w:r>
      <w:r>
        <w:rPr>
          <w:rFonts w:ascii="Arial" w:hAnsi="Arial" w:cs="Arial"/>
          <w:sz w:val="22"/>
          <w:szCs w:val="22"/>
        </w:rPr>
        <w:tab/>
      </w:r>
      <w:r w:rsidRPr="00F64D82">
        <w:rPr>
          <w:rFonts w:ascii="Arial" w:hAnsi="Arial" w:cs="Arial"/>
          <w:b/>
          <w:sz w:val="22"/>
          <w:szCs w:val="22"/>
        </w:rPr>
        <w:t xml:space="preserve">Meeting Housing Need: </w:t>
      </w:r>
      <w:r>
        <w:rPr>
          <w:rFonts w:ascii="Arial" w:hAnsi="Arial" w:cs="Arial"/>
          <w:sz w:val="22"/>
          <w:szCs w:val="22"/>
        </w:rPr>
        <w:t xml:space="preserve">The number of affordable homes for rent delivered </w:t>
      </w:r>
      <w:r w:rsidR="003F1B8B">
        <w:rPr>
          <w:rFonts w:ascii="Arial" w:hAnsi="Arial" w:cs="Arial"/>
          <w:sz w:val="22"/>
          <w:szCs w:val="22"/>
        </w:rPr>
        <w:t>–</w:t>
      </w:r>
      <w:r>
        <w:rPr>
          <w:rFonts w:ascii="Arial" w:hAnsi="Arial" w:cs="Arial"/>
          <w:sz w:val="22"/>
          <w:szCs w:val="22"/>
        </w:rPr>
        <w:t xml:space="preserve"> </w:t>
      </w:r>
      <w:r w:rsidR="003F1B8B">
        <w:rPr>
          <w:rFonts w:ascii="Arial" w:hAnsi="Arial" w:cs="Arial"/>
          <w:sz w:val="22"/>
          <w:szCs w:val="22"/>
        </w:rPr>
        <w:t xml:space="preserve">The number of units delivered stood at 20 for June against a profiled target of 60. The remaining 40 units at </w:t>
      </w:r>
      <w:proofErr w:type="spellStart"/>
      <w:r w:rsidR="003F1B8B">
        <w:rPr>
          <w:rFonts w:ascii="Arial" w:hAnsi="Arial" w:cs="Arial"/>
          <w:sz w:val="22"/>
          <w:szCs w:val="22"/>
        </w:rPr>
        <w:t>Minchery</w:t>
      </w:r>
      <w:proofErr w:type="spellEnd"/>
      <w:r w:rsidR="003F1B8B">
        <w:rPr>
          <w:rFonts w:ascii="Arial" w:hAnsi="Arial" w:cs="Arial"/>
          <w:sz w:val="22"/>
          <w:szCs w:val="22"/>
        </w:rPr>
        <w:t xml:space="preserve"> Farm, along with units at </w:t>
      </w:r>
      <w:proofErr w:type="spellStart"/>
      <w:r w:rsidR="003F1B8B">
        <w:rPr>
          <w:rFonts w:ascii="Arial" w:hAnsi="Arial" w:cs="Arial"/>
          <w:sz w:val="22"/>
          <w:szCs w:val="22"/>
        </w:rPr>
        <w:t>Bradlands</w:t>
      </w:r>
      <w:proofErr w:type="spellEnd"/>
      <w:r w:rsidR="003F1B8B">
        <w:rPr>
          <w:rFonts w:ascii="Arial" w:hAnsi="Arial" w:cs="Arial"/>
          <w:sz w:val="22"/>
          <w:szCs w:val="22"/>
        </w:rPr>
        <w:t>, are expected to be handed over during Quarter 2.</w:t>
      </w:r>
    </w:p>
    <w:p w:rsidR="006E3BBA" w:rsidRPr="00563A52" w:rsidRDefault="006E3BBA" w:rsidP="006E3BBA">
      <w:pPr>
        <w:rPr>
          <w:rFonts w:ascii="Arial" w:hAnsi="Arial" w:cs="Arial"/>
          <w:b/>
          <w:bCs/>
          <w:sz w:val="22"/>
          <w:szCs w:val="22"/>
        </w:rPr>
      </w:pPr>
    </w:p>
    <w:p w:rsidR="006E3BBA" w:rsidRPr="002F564B" w:rsidRDefault="00C2567C" w:rsidP="006C26CA">
      <w:pPr>
        <w:numPr>
          <w:ilvl w:val="0"/>
          <w:numId w:val="6"/>
        </w:numPr>
        <w:tabs>
          <w:tab w:val="clear" w:pos="1080"/>
          <w:tab w:val="num" w:pos="709"/>
        </w:tabs>
        <w:ind w:hanging="796"/>
        <w:rPr>
          <w:rFonts w:ascii="Arial" w:hAnsi="Arial" w:cs="Arial"/>
          <w:b/>
          <w:bCs/>
          <w:sz w:val="22"/>
          <w:szCs w:val="22"/>
          <w:u w:val="single"/>
        </w:rPr>
      </w:pPr>
      <w:r>
        <w:rPr>
          <w:rFonts w:ascii="Arial" w:hAnsi="Arial" w:cs="Arial"/>
          <w:b/>
          <w:bCs/>
          <w:sz w:val="22"/>
          <w:szCs w:val="22"/>
          <w:u w:val="single"/>
        </w:rPr>
        <w:t xml:space="preserve">Corporate </w:t>
      </w:r>
      <w:r w:rsidR="006E3BBA" w:rsidRPr="002F564B">
        <w:rPr>
          <w:rFonts w:ascii="Arial" w:hAnsi="Arial" w:cs="Arial"/>
          <w:b/>
          <w:bCs/>
          <w:sz w:val="22"/>
          <w:szCs w:val="22"/>
          <w:u w:val="single"/>
        </w:rPr>
        <w:t>R</w:t>
      </w:r>
      <w:r w:rsidR="002F564B" w:rsidRPr="002F564B">
        <w:rPr>
          <w:rFonts w:ascii="Arial" w:hAnsi="Arial" w:cs="Arial"/>
          <w:b/>
          <w:bCs/>
          <w:sz w:val="22"/>
          <w:szCs w:val="22"/>
          <w:u w:val="single"/>
        </w:rPr>
        <w:t xml:space="preserve">isk </w:t>
      </w:r>
      <w:r>
        <w:rPr>
          <w:rFonts w:ascii="Arial" w:hAnsi="Arial" w:cs="Arial"/>
          <w:b/>
          <w:bCs/>
          <w:sz w:val="22"/>
          <w:szCs w:val="22"/>
          <w:u w:val="single"/>
        </w:rPr>
        <w:t>Exceptions</w:t>
      </w:r>
    </w:p>
    <w:p w:rsidR="006E3BBA" w:rsidRDefault="006E3BBA" w:rsidP="006E3BBA">
      <w:pPr>
        <w:ind w:left="720"/>
        <w:rPr>
          <w:rFonts w:ascii="Arial" w:hAnsi="Arial" w:cs="Arial"/>
          <w:b/>
          <w:bCs/>
          <w:sz w:val="22"/>
          <w:szCs w:val="22"/>
        </w:rPr>
      </w:pPr>
    </w:p>
    <w:p w:rsidR="00C2567C" w:rsidRPr="00C2567C" w:rsidRDefault="00C2567C" w:rsidP="00C2567C">
      <w:pPr>
        <w:ind w:left="720"/>
        <w:rPr>
          <w:rFonts w:ascii="Arial" w:hAnsi="Arial" w:cs="Arial"/>
          <w:b/>
          <w:bCs/>
          <w:sz w:val="22"/>
          <w:szCs w:val="22"/>
        </w:rPr>
      </w:pPr>
      <w:r w:rsidRPr="00C2567C">
        <w:rPr>
          <w:rFonts w:ascii="Arial" w:hAnsi="Arial" w:cs="Arial"/>
          <w:b/>
          <w:bCs/>
          <w:sz w:val="22"/>
          <w:szCs w:val="22"/>
        </w:rPr>
        <w:t>Red:</w:t>
      </w:r>
    </w:p>
    <w:p w:rsidR="00C2567C" w:rsidRDefault="00C2567C" w:rsidP="006E3BBA">
      <w:pPr>
        <w:ind w:left="720"/>
        <w:rPr>
          <w:rFonts w:ascii="Arial" w:hAnsi="Arial" w:cs="Arial"/>
          <w:b/>
          <w:bCs/>
          <w:sz w:val="22"/>
          <w:szCs w:val="22"/>
        </w:rPr>
      </w:pPr>
    </w:p>
    <w:p w:rsidR="006E3BBA" w:rsidRDefault="006C26CA" w:rsidP="006C26CA">
      <w:pPr>
        <w:ind w:left="709" w:hanging="425"/>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6E3BBA" w:rsidRPr="002D152F">
        <w:rPr>
          <w:rFonts w:ascii="Arial" w:hAnsi="Arial" w:cs="Arial"/>
          <w:bCs/>
          <w:sz w:val="22"/>
          <w:szCs w:val="22"/>
        </w:rPr>
        <w:t xml:space="preserve">The Corporate risk register has been reviewed in the </w:t>
      </w:r>
      <w:r w:rsidR="00C65431">
        <w:rPr>
          <w:rFonts w:ascii="Arial" w:hAnsi="Arial" w:cs="Arial"/>
          <w:bCs/>
          <w:sz w:val="22"/>
          <w:szCs w:val="22"/>
        </w:rPr>
        <w:t>first</w:t>
      </w:r>
      <w:r w:rsidR="006E3BBA" w:rsidRPr="002D152F">
        <w:rPr>
          <w:rFonts w:ascii="Arial" w:hAnsi="Arial" w:cs="Arial"/>
          <w:bCs/>
          <w:sz w:val="22"/>
          <w:szCs w:val="22"/>
        </w:rPr>
        <w:t xml:space="preserve"> quarter of the year and this has </w:t>
      </w:r>
      <w:r w:rsidR="006E3BBA" w:rsidRPr="006444D3">
        <w:rPr>
          <w:rFonts w:ascii="Arial" w:hAnsi="Arial" w:cs="Arial"/>
          <w:bCs/>
          <w:sz w:val="22"/>
          <w:szCs w:val="22"/>
        </w:rPr>
        <w:t>identified no current red risks.</w:t>
      </w:r>
    </w:p>
    <w:p w:rsidR="00C2567C" w:rsidRDefault="00C2567C" w:rsidP="006C26CA">
      <w:pPr>
        <w:ind w:left="709" w:hanging="425"/>
        <w:rPr>
          <w:rFonts w:ascii="Arial" w:hAnsi="Arial" w:cs="Arial"/>
          <w:bCs/>
          <w:sz w:val="22"/>
          <w:szCs w:val="22"/>
        </w:rPr>
      </w:pPr>
    </w:p>
    <w:p w:rsidR="00C2567C" w:rsidRPr="00C2567C" w:rsidRDefault="00C2567C" w:rsidP="00C2567C">
      <w:pPr>
        <w:ind w:left="709"/>
        <w:rPr>
          <w:rFonts w:ascii="Arial" w:hAnsi="Arial" w:cs="Arial"/>
          <w:b/>
          <w:bCs/>
          <w:sz w:val="22"/>
          <w:szCs w:val="22"/>
        </w:rPr>
      </w:pPr>
      <w:r>
        <w:rPr>
          <w:rFonts w:ascii="Arial" w:hAnsi="Arial" w:cs="Arial"/>
          <w:b/>
          <w:bCs/>
          <w:sz w:val="22"/>
          <w:szCs w:val="22"/>
        </w:rPr>
        <w:t>Amber</w:t>
      </w:r>
      <w:r w:rsidRPr="00C2567C">
        <w:rPr>
          <w:rFonts w:ascii="Arial" w:hAnsi="Arial" w:cs="Arial"/>
          <w:b/>
          <w:bCs/>
          <w:sz w:val="22"/>
          <w:szCs w:val="22"/>
        </w:rPr>
        <w:t>:</w:t>
      </w:r>
    </w:p>
    <w:p w:rsidR="00C2567C" w:rsidRDefault="00C2567C" w:rsidP="006C26CA">
      <w:pPr>
        <w:ind w:left="709" w:hanging="425"/>
        <w:rPr>
          <w:rFonts w:ascii="Arial" w:hAnsi="Arial" w:cs="Arial"/>
          <w:bCs/>
          <w:sz w:val="22"/>
          <w:szCs w:val="22"/>
        </w:rPr>
      </w:pPr>
    </w:p>
    <w:p w:rsidR="00C65431" w:rsidRPr="00FB48DF" w:rsidRDefault="00C2567C" w:rsidP="00C65431">
      <w:pPr>
        <w:ind w:left="709" w:hanging="425"/>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6B31B9">
        <w:rPr>
          <w:rFonts w:ascii="Arial" w:hAnsi="Arial" w:cs="Arial"/>
          <w:bCs/>
          <w:sz w:val="22"/>
          <w:szCs w:val="22"/>
        </w:rPr>
        <w:t xml:space="preserve">There are four amber risks identified on the Corporate Risk Register relating to resilience of the ICT function, </w:t>
      </w:r>
      <w:r w:rsidR="00AE03D4" w:rsidRPr="00AE03D4">
        <w:rPr>
          <w:rFonts w:ascii="Arial" w:hAnsi="Arial" w:cs="Arial"/>
          <w:bCs/>
          <w:sz w:val="22"/>
          <w:szCs w:val="22"/>
        </w:rPr>
        <w:t xml:space="preserve">ensuring savings are delivered as outlined in the </w:t>
      </w:r>
      <w:r w:rsidR="006B31B9">
        <w:rPr>
          <w:rFonts w:ascii="Arial" w:hAnsi="Arial" w:cs="Arial"/>
          <w:bCs/>
          <w:sz w:val="22"/>
          <w:szCs w:val="22"/>
        </w:rPr>
        <w:t>Medium Term Financial</w:t>
      </w:r>
      <w:r w:rsidR="00AE03D4">
        <w:rPr>
          <w:rFonts w:ascii="Arial" w:hAnsi="Arial" w:cs="Arial"/>
          <w:bCs/>
          <w:sz w:val="22"/>
          <w:szCs w:val="22"/>
        </w:rPr>
        <w:t xml:space="preserve"> Plan</w:t>
      </w:r>
      <w:r w:rsidR="006B31B9">
        <w:rPr>
          <w:rFonts w:ascii="Arial" w:hAnsi="Arial" w:cs="Arial"/>
          <w:bCs/>
          <w:sz w:val="22"/>
          <w:szCs w:val="22"/>
        </w:rPr>
        <w:t xml:space="preserve">, </w:t>
      </w:r>
      <w:r w:rsidR="00AE03D4">
        <w:rPr>
          <w:rFonts w:ascii="Arial" w:hAnsi="Arial" w:cs="Arial"/>
          <w:bCs/>
          <w:sz w:val="22"/>
          <w:szCs w:val="22"/>
        </w:rPr>
        <w:t xml:space="preserve">the risk of </w:t>
      </w:r>
      <w:r w:rsidR="00AE03D4" w:rsidRPr="00AE03D4">
        <w:rPr>
          <w:rFonts w:ascii="Arial" w:hAnsi="Arial" w:cs="Arial"/>
          <w:bCs/>
          <w:sz w:val="22"/>
          <w:szCs w:val="22"/>
        </w:rPr>
        <w:t>the potential reduction in funding to our partners</w:t>
      </w:r>
      <w:r w:rsidR="00AE03D4">
        <w:rPr>
          <w:rFonts w:ascii="Arial" w:hAnsi="Arial" w:cs="Arial"/>
          <w:bCs/>
          <w:sz w:val="22"/>
          <w:szCs w:val="22"/>
        </w:rPr>
        <w:t xml:space="preserve"> </w:t>
      </w:r>
      <w:r w:rsidR="006B31B9">
        <w:rPr>
          <w:rFonts w:ascii="Arial" w:hAnsi="Arial" w:cs="Arial"/>
          <w:bCs/>
          <w:sz w:val="22"/>
          <w:szCs w:val="22"/>
        </w:rPr>
        <w:t>and recruitment and retention.</w:t>
      </w:r>
    </w:p>
    <w:p w:rsidR="00FB48DF" w:rsidRDefault="00FB48DF" w:rsidP="006C26CA">
      <w:pPr>
        <w:ind w:left="709" w:hanging="425"/>
        <w:rPr>
          <w:rFonts w:ascii="Arial" w:hAnsi="Arial" w:cs="Arial"/>
          <w:bCs/>
          <w:sz w:val="22"/>
          <w:szCs w:val="22"/>
        </w:rPr>
      </w:pPr>
    </w:p>
    <w:sectPr w:rsidR="00FB48DF" w:rsidSect="002F564B">
      <w:footerReference w:type="default" r:id="rId8"/>
      <w:pgSz w:w="11906" w:h="16838" w:code="9"/>
      <w:pgMar w:top="902" w:right="352" w:bottom="1440" w:left="3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BA" w:rsidRDefault="00DF31BA">
      <w:r>
        <w:separator/>
      </w:r>
    </w:p>
  </w:endnote>
  <w:endnote w:type="continuationSeparator" w:id="0">
    <w:p w:rsidR="00DF31BA" w:rsidRDefault="00D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7E" w:rsidRDefault="0054537E" w:rsidP="00102A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BA" w:rsidRDefault="00DF31BA">
      <w:r>
        <w:separator/>
      </w:r>
    </w:p>
  </w:footnote>
  <w:footnote w:type="continuationSeparator" w:id="0">
    <w:p w:rsidR="00DF31BA" w:rsidRDefault="00DF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292"/>
    <w:multiLevelType w:val="hybridMultilevel"/>
    <w:tmpl w:val="6EE60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3F0702"/>
    <w:multiLevelType w:val="hybridMultilevel"/>
    <w:tmpl w:val="F68E4822"/>
    <w:lvl w:ilvl="0" w:tplc="041A9F98">
      <w:start w:val="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D04B5C"/>
    <w:multiLevelType w:val="hybridMultilevel"/>
    <w:tmpl w:val="9AC27D5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nsid w:val="0D826828"/>
    <w:multiLevelType w:val="hybridMultilevel"/>
    <w:tmpl w:val="DC04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050AA"/>
    <w:multiLevelType w:val="hybridMultilevel"/>
    <w:tmpl w:val="BD8E6450"/>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1D54855"/>
    <w:multiLevelType w:val="hybridMultilevel"/>
    <w:tmpl w:val="F7424A66"/>
    <w:lvl w:ilvl="0" w:tplc="19982DA2">
      <w:start w:val="1"/>
      <w:numFmt w:val="decimal"/>
      <w:lvlText w:val="%1."/>
      <w:lvlJc w:val="left"/>
      <w:pPr>
        <w:ind w:left="1069"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18F2850"/>
    <w:multiLevelType w:val="hybridMultilevel"/>
    <w:tmpl w:val="26D28CE0"/>
    <w:lvl w:ilvl="0" w:tplc="372C00A6">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E215600"/>
    <w:multiLevelType w:val="multilevel"/>
    <w:tmpl w:val="8AD4691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3C302EB1"/>
    <w:multiLevelType w:val="hybridMultilevel"/>
    <w:tmpl w:val="8B384F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2E27877"/>
    <w:multiLevelType w:val="hybridMultilevel"/>
    <w:tmpl w:val="86C6C5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E07E8"/>
    <w:multiLevelType w:val="hybridMultilevel"/>
    <w:tmpl w:val="E1BEE1A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nsid w:val="593F0C58"/>
    <w:multiLevelType w:val="hybridMultilevel"/>
    <w:tmpl w:val="0556037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2">
    <w:nsid w:val="622C0B23"/>
    <w:multiLevelType w:val="hybridMultilevel"/>
    <w:tmpl w:val="20B298AC"/>
    <w:lvl w:ilvl="0" w:tplc="7C06539E">
      <w:start w:val="1"/>
      <w:numFmt w:val="decimal"/>
      <w:lvlText w:val="%1)"/>
      <w:lvlJc w:val="left"/>
      <w:pPr>
        <w:tabs>
          <w:tab w:val="num" w:pos="720"/>
        </w:tabs>
        <w:ind w:left="720" w:hanging="360"/>
      </w:pPr>
      <w:rPr>
        <w:rFonts w:cs="Times New Roman"/>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4316F85"/>
    <w:multiLevelType w:val="hybridMultilevel"/>
    <w:tmpl w:val="080E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C2D53"/>
    <w:multiLevelType w:val="hybridMultilevel"/>
    <w:tmpl w:val="13980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6"/>
  </w:num>
  <w:num w:numId="5">
    <w:abstractNumId w:val="0"/>
  </w:num>
  <w:num w:numId="6">
    <w:abstractNumId w:val="1"/>
  </w:num>
  <w:num w:numId="7">
    <w:abstractNumId w:val="12"/>
  </w:num>
  <w:num w:numId="8">
    <w:abstractNumId w:val="5"/>
  </w:num>
  <w:num w:numId="9">
    <w:abstractNumId w:val="11"/>
  </w:num>
  <w:num w:numId="10">
    <w:abstractNumId w:val="7"/>
  </w:num>
  <w:num w:numId="11">
    <w:abstractNumId w:val="13"/>
  </w:num>
  <w:num w:numId="12">
    <w:abstractNumId w:val="3"/>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2"/>
    <w:rsid w:val="00002448"/>
    <w:rsid w:val="00002A2C"/>
    <w:rsid w:val="000200EB"/>
    <w:rsid w:val="000277A4"/>
    <w:rsid w:val="00031D25"/>
    <w:rsid w:val="00047892"/>
    <w:rsid w:val="00072889"/>
    <w:rsid w:val="00074099"/>
    <w:rsid w:val="00080EDD"/>
    <w:rsid w:val="000B27BD"/>
    <w:rsid w:val="000B3B71"/>
    <w:rsid w:val="000C7794"/>
    <w:rsid w:val="00102A79"/>
    <w:rsid w:val="00106A97"/>
    <w:rsid w:val="00130464"/>
    <w:rsid w:val="00153099"/>
    <w:rsid w:val="00155D2C"/>
    <w:rsid w:val="001902F6"/>
    <w:rsid w:val="00193940"/>
    <w:rsid w:val="001A3A62"/>
    <w:rsid w:val="001B486C"/>
    <w:rsid w:val="001F4514"/>
    <w:rsid w:val="00207373"/>
    <w:rsid w:val="00217131"/>
    <w:rsid w:val="0023226E"/>
    <w:rsid w:val="002350A4"/>
    <w:rsid w:val="0024320A"/>
    <w:rsid w:val="00260B8F"/>
    <w:rsid w:val="00272A62"/>
    <w:rsid w:val="002973EF"/>
    <w:rsid w:val="002B20C7"/>
    <w:rsid w:val="002B4DE9"/>
    <w:rsid w:val="002B6D73"/>
    <w:rsid w:val="002D152F"/>
    <w:rsid w:val="002D1AF5"/>
    <w:rsid w:val="002D221B"/>
    <w:rsid w:val="002E5F48"/>
    <w:rsid w:val="002E62B5"/>
    <w:rsid w:val="002F383C"/>
    <w:rsid w:val="002F564B"/>
    <w:rsid w:val="002F6C75"/>
    <w:rsid w:val="00331DCA"/>
    <w:rsid w:val="0034725E"/>
    <w:rsid w:val="0039343C"/>
    <w:rsid w:val="003A361D"/>
    <w:rsid w:val="003A5EB3"/>
    <w:rsid w:val="003B3CFF"/>
    <w:rsid w:val="003B4F0A"/>
    <w:rsid w:val="003C033B"/>
    <w:rsid w:val="003D1007"/>
    <w:rsid w:val="003D33AC"/>
    <w:rsid w:val="003D7653"/>
    <w:rsid w:val="003F1B8B"/>
    <w:rsid w:val="004072B5"/>
    <w:rsid w:val="00414619"/>
    <w:rsid w:val="00414F62"/>
    <w:rsid w:val="00415CBD"/>
    <w:rsid w:val="0046427F"/>
    <w:rsid w:val="00471C87"/>
    <w:rsid w:val="00483F5E"/>
    <w:rsid w:val="0049136D"/>
    <w:rsid w:val="00494DE9"/>
    <w:rsid w:val="004A0837"/>
    <w:rsid w:val="004D016F"/>
    <w:rsid w:val="004D221E"/>
    <w:rsid w:val="004E3A4B"/>
    <w:rsid w:val="004F37FC"/>
    <w:rsid w:val="00510361"/>
    <w:rsid w:val="00513700"/>
    <w:rsid w:val="005137FD"/>
    <w:rsid w:val="005313DC"/>
    <w:rsid w:val="00535F45"/>
    <w:rsid w:val="0054537E"/>
    <w:rsid w:val="005603FC"/>
    <w:rsid w:val="00563A52"/>
    <w:rsid w:val="005932BF"/>
    <w:rsid w:val="005949A3"/>
    <w:rsid w:val="00594F5D"/>
    <w:rsid w:val="005953C6"/>
    <w:rsid w:val="005B1F42"/>
    <w:rsid w:val="005B7B31"/>
    <w:rsid w:val="005C0AD8"/>
    <w:rsid w:val="005E19E8"/>
    <w:rsid w:val="005E1EAE"/>
    <w:rsid w:val="00600F78"/>
    <w:rsid w:val="00620057"/>
    <w:rsid w:val="0062080A"/>
    <w:rsid w:val="00620EDB"/>
    <w:rsid w:val="00620F90"/>
    <w:rsid w:val="00636AA3"/>
    <w:rsid w:val="006424BA"/>
    <w:rsid w:val="006444D3"/>
    <w:rsid w:val="00650980"/>
    <w:rsid w:val="0066182C"/>
    <w:rsid w:val="006935CF"/>
    <w:rsid w:val="00695D4A"/>
    <w:rsid w:val="006A0E26"/>
    <w:rsid w:val="006A697A"/>
    <w:rsid w:val="006B206F"/>
    <w:rsid w:val="006B31B9"/>
    <w:rsid w:val="006B5031"/>
    <w:rsid w:val="006B7005"/>
    <w:rsid w:val="006C26CA"/>
    <w:rsid w:val="006C5DC3"/>
    <w:rsid w:val="006E3BBA"/>
    <w:rsid w:val="006E4906"/>
    <w:rsid w:val="00702768"/>
    <w:rsid w:val="00711113"/>
    <w:rsid w:val="00715236"/>
    <w:rsid w:val="00725E03"/>
    <w:rsid w:val="00731114"/>
    <w:rsid w:val="007429EF"/>
    <w:rsid w:val="00763F99"/>
    <w:rsid w:val="00770AD4"/>
    <w:rsid w:val="007972ED"/>
    <w:rsid w:val="007B1B09"/>
    <w:rsid w:val="007E0256"/>
    <w:rsid w:val="007E33E1"/>
    <w:rsid w:val="007E6B44"/>
    <w:rsid w:val="007E6CAD"/>
    <w:rsid w:val="00802B87"/>
    <w:rsid w:val="008123B5"/>
    <w:rsid w:val="00814392"/>
    <w:rsid w:val="008173C2"/>
    <w:rsid w:val="00827285"/>
    <w:rsid w:val="008421E9"/>
    <w:rsid w:val="008433D6"/>
    <w:rsid w:val="0084455A"/>
    <w:rsid w:val="00850BC1"/>
    <w:rsid w:val="00875B53"/>
    <w:rsid w:val="00885646"/>
    <w:rsid w:val="008A32F2"/>
    <w:rsid w:val="008A4D49"/>
    <w:rsid w:val="008C00C8"/>
    <w:rsid w:val="008C175B"/>
    <w:rsid w:val="008D4B24"/>
    <w:rsid w:val="008E1275"/>
    <w:rsid w:val="008E2D59"/>
    <w:rsid w:val="009147CB"/>
    <w:rsid w:val="00926987"/>
    <w:rsid w:val="00933D36"/>
    <w:rsid w:val="00935305"/>
    <w:rsid w:val="00940296"/>
    <w:rsid w:val="00964484"/>
    <w:rsid w:val="0096633B"/>
    <w:rsid w:val="009700F1"/>
    <w:rsid w:val="009741D9"/>
    <w:rsid w:val="009962B5"/>
    <w:rsid w:val="00997585"/>
    <w:rsid w:val="009A2F88"/>
    <w:rsid w:val="009A7294"/>
    <w:rsid w:val="009B2677"/>
    <w:rsid w:val="009B681F"/>
    <w:rsid w:val="009C2057"/>
    <w:rsid w:val="009C779D"/>
    <w:rsid w:val="00A20CC7"/>
    <w:rsid w:val="00A2229C"/>
    <w:rsid w:val="00A609C1"/>
    <w:rsid w:val="00A74203"/>
    <w:rsid w:val="00AB78A7"/>
    <w:rsid w:val="00AE03D4"/>
    <w:rsid w:val="00AE0CCA"/>
    <w:rsid w:val="00AE1BA2"/>
    <w:rsid w:val="00B027EB"/>
    <w:rsid w:val="00B02849"/>
    <w:rsid w:val="00B27023"/>
    <w:rsid w:val="00B475D1"/>
    <w:rsid w:val="00B554B4"/>
    <w:rsid w:val="00B64653"/>
    <w:rsid w:val="00B77B31"/>
    <w:rsid w:val="00B80AE1"/>
    <w:rsid w:val="00B850B3"/>
    <w:rsid w:val="00B90D36"/>
    <w:rsid w:val="00B93657"/>
    <w:rsid w:val="00B94E2B"/>
    <w:rsid w:val="00BA4B7B"/>
    <w:rsid w:val="00BC2604"/>
    <w:rsid w:val="00BC67CD"/>
    <w:rsid w:val="00C163A0"/>
    <w:rsid w:val="00C17D14"/>
    <w:rsid w:val="00C200C1"/>
    <w:rsid w:val="00C2567C"/>
    <w:rsid w:val="00C3746C"/>
    <w:rsid w:val="00C40742"/>
    <w:rsid w:val="00C532B5"/>
    <w:rsid w:val="00C55D07"/>
    <w:rsid w:val="00C65431"/>
    <w:rsid w:val="00C978D2"/>
    <w:rsid w:val="00CA1559"/>
    <w:rsid w:val="00CB0BCF"/>
    <w:rsid w:val="00CB2D67"/>
    <w:rsid w:val="00CB45CA"/>
    <w:rsid w:val="00CC3DDF"/>
    <w:rsid w:val="00CE5EE3"/>
    <w:rsid w:val="00D01C8F"/>
    <w:rsid w:val="00D109CC"/>
    <w:rsid w:val="00D31CC1"/>
    <w:rsid w:val="00D37903"/>
    <w:rsid w:val="00D40D12"/>
    <w:rsid w:val="00D70B3F"/>
    <w:rsid w:val="00D75AFA"/>
    <w:rsid w:val="00D90462"/>
    <w:rsid w:val="00DD6950"/>
    <w:rsid w:val="00DE020A"/>
    <w:rsid w:val="00DE1CE8"/>
    <w:rsid w:val="00DF21B4"/>
    <w:rsid w:val="00DF31BA"/>
    <w:rsid w:val="00DF3593"/>
    <w:rsid w:val="00E101FF"/>
    <w:rsid w:val="00E1434E"/>
    <w:rsid w:val="00E16644"/>
    <w:rsid w:val="00E25C55"/>
    <w:rsid w:val="00E37572"/>
    <w:rsid w:val="00E440F0"/>
    <w:rsid w:val="00E65B5C"/>
    <w:rsid w:val="00E671E6"/>
    <w:rsid w:val="00EA5A51"/>
    <w:rsid w:val="00EA7EBE"/>
    <w:rsid w:val="00EB3859"/>
    <w:rsid w:val="00EB3B94"/>
    <w:rsid w:val="00EB6F3E"/>
    <w:rsid w:val="00EC1A10"/>
    <w:rsid w:val="00EC6932"/>
    <w:rsid w:val="00ED532A"/>
    <w:rsid w:val="00EE3315"/>
    <w:rsid w:val="00EF5538"/>
    <w:rsid w:val="00EF7411"/>
    <w:rsid w:val="00F17CCB"/>
    <w:rsid w:val="00F2792F"/>
    <w:rsid w:val="00F37CE6"/>
    <w:rsid w:val="00F43799"/>
    <w:rsid w:val="00F46048"/>
    <w:rsid w:val="00F53051"/>
    <w:rsid w:val="00F64D82"/>
    <w:rsid w:val="00F71148"/>
    <w:rsid w:val="00F72184"/>
    <w:rsid w:val="00F722DC"/>
    <w:rsid w:val="00FA031A"/>
    <w:rsid w:val="00FA59AB"/>
    <w:rsid w:val="00FB48DF"/>
    <w:rsid w:val="00FE5E5F"/>
    <w:rsid w:val="00FF1369"/>
    <w:rsid w:val="00FF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table" w:styleId="TableGrid">
    <w:name w:val="Table Grid"/>
    <w:basedOn w:val="TableNormal"/>
    <w:uiPriority w:val="59"/>
    <w:rsid w:val="002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36D"/>
    <w:pPr>
      <w:tabs>
        <w:tab w:val="center" w:pos="4513"/>
        <w:tab w:val="right" w:pos="9026"/>
      </w:tabs>
    </w:pPr>
  </w:style>
  <w:style w:type="character" w:customStyle="1" w:styleId="HeaderChar">
    <w:name w:val="Header Char"/>
    <w:basedOn w:val="DefaultParagraphFont"/>
    <w:link w:val="Header"/>
    <w:uiPriority w:val="99"/>
    <w:locked/>
    <w:rsid w:val="0049136D"/>
    <w:rPr>
      <w:rFonts w:cs="Times New Roman"/>
      <w:sz w:val="24"/>
      <w:szCs w:val="24"/>
    </w:rPr>
  </w:style>
  <w:style w:type="paragraph" w:styleId="BalloonText">
    <w:name w:val="Balloon Text"/>
    <w:basedOn w:val="Normal"/>
    <w:link w:val="BalloonTextChar"/>
    <w:uiPriority w:val="99"/>
    <w:semiHidden/>
    <w:unhideWhenUsed/>
    <w:rsid w:val="00CA1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559"/>
    <w:rPr>
      <w:rFonts w:ascii="Tahoma" w:hAnsi="Tahoma" w:cs="Tahoma"/>
      <w:sz w:val="16"/>
      <w:szCs w:val="16"/>
    </w:rPr>
  </w:style>
  <w:style w:type="character" w:styleId="CommentReference">
    <w:name w:val="annotation reference"/>
    <w:basedOn w:val="DefaultParagraphFont"/>
    <w:uiPriority w:val="99"/>
    <w:semiHidden/>
    <w:unhideWhenUsed/>
    <w:rsid w:val="008C00C8"/>
    <w:rPr>
      <w:rFonts w:cs="Times New Roman"/>
      <w:sz w:val="16"/>
      <w:szCs w:val="16"/>
    </w:rPr>
  </w:style>
  <w:style w:type="paragraph" w:styleId="CommentText">
    <w:name w:val="annotation text"/>
    <w:basedOn w:val="Normal"/>
    <w:link w:val="CommentTextChar"/>
    <w:uiPriority w:val="99"/>
    <w:semiHidden/>
    <w:unhideWhenUsed/>
    <w:rsid w:val="008C00C8"/>
    <w:rPr>
      <w:sz w:val="20"/>
      <w:szCs w:val="20"/>
    </w:rPr>
  </w:style>
  <w:style w:type="character" w:customStyle="1" w:styleId="CommentTextChar">
    <w:name w:val="Comment Text Char"/>
    <w:basedOn w:val="DefaultParagraphFont"/>
    <w:link w:val="CommentText"/>
    <w:uiPriority w:val="99"/>
    <w:semiHidden/>
    <w:locked/>
    <w:rsid w:val="008C00C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00C8"/>
    <w:rPr>
      <w:b/>
      <w:bCs/>
    </w:rPr>
  </w:style>
  <w:style w:type="character" w:customStyle="1" w:styleId="CommentSubjectChar">
    <w:name w:val="Comment Subject Char"/>
    <w:basedOn w:val="CommentTextChar"/>
    <w:link w:val="CommentSubject"/>
    <w:uiPriority w:val="99"/>
    <w:semiHidden/>
    <w:locked/>
    <w:rsid w:val="008C00C8"/>
    <w:rPr>
      <w:rFonts w:cs="Times New Roman"/>
      <w:b/>
      <w:bCs/>
      <w:sz w:val="20"/>
      <w:szCs w:val="20"/>
    </w:rPr>
  </w:style>
  <w:style w:type="paragraph" w:styleId="ListParagraph">
    <w:name w:val="List Paragraph"/>
    <w:basedOn w:val="Normal"/>
    <w:uiPriority w:val="34"/>
    <w:qFormat/>
    <w:rsid w:val="00875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93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C6932"/>
    <w:rPr>
      <w:rFonts w:cs="Times New Roman"/>
    </w:rPr>
  </w:style>
  <w:style w:type="table" w:styleId="TableGrid">
    <w:name w:val="Table Grid"/>
    <w:basedOn w:val="TableNormal"/>
    <w:uiPriority w:val="59"/>
    <w:rsid w:val="002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36D"/>
    <w:pPr>
      <w:tabs>
        <w:tab w:val="center" w:pos="4513"/>
        <w:tab w:val="right" w:pos="9026"/>
      </w:tabs>
    </w:pPr>
  </w:style>
  <w:style w:type="character" w:customStyle="1" w:styleId="HeaderChar">
    <w:name w:val="Header Char"/>
    <w:basedOn w:val="DefaultParagraphFont"/>
    <w:link w:val="Header"/>
    <w:uiPriority w:val="99"/>
    <w:locked/>
    <w:rsid w:val="0049136D"/>
    <w:rPr>
      <w:rFonts w:cs="Times New Roman"/>
      <w:sz w:val="24"/>
      <w:szCs w:val="24"/>
    </w:rPr>
  </w:style>
  <w:style w:type="paragraph" w:styleId="BalloonText">
    <w:name w:val="Balloon Text"/>
    <w:basedOn w:val="Normal"/>
    <w:link w:val="BalloonTextChar"/>
    <w:uiPriority w:val="99"/>
    <w:semiHidden/>
    <w:unhideWhenUsed/>
    <w:rsid w:val="00CA1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559"/>
    <w:rPr>
      <w:rFonts w:ascii="Tahoma" w:hAnsi="Tahoma" w:cs="Tahoma"/>
      <w:sz w:val="16"/>
      <w:szCs w:val="16"/>
    </w:rPr>
  </w:style>
  <w:style w:type="character" w:styleId="CommentReference">
    <w:name w:val="annotation reference"/>
    <w:basedOn w:val="DefaultParagraphFont"/>
    <w:uiPriority w:val="99"/>
    <w:semiHidden/>
    <w:unhideWhenUsed/>
    <w:rsid w:val="008C00C8"/>
    <w:rPr>
      <w:rFonts w:cs="Times New Roman"/>
      <w:sz w:val="16"/>
      <w:szCs w:val="16"/>
    </w:rPr>
  </w:style>
  <w:style w:type="paragraph" w:styleId="CommentText">
    <w:name w:val="annotation text"/>
    <w:basedOn w:val="Normal"/>
    <w:link w:val="CommentTextChar"/>
    <w:uiPriority w:val="99"/>
    <w:semiHidden/>
    <w:unhideWhenUsed/>
    <w:rsid w:val="008C00C8"/>
    <w:rPr>
      <w:sz w:val="20"/>
      <w:szCs w:val="20"/>
    </w:rPr>
  </w:style>
  <w:style w:type="character" w:customStyle="1" w:styleId="CommentTextChar">
    <w:name w:val="Comment Text Char"/>
    <w:basedOn w:val="DefaultParagraphFont"/>
    <w:link w:val="CommentText"/>
    <w:uiPriority w:val="99"/>
    <w:semiHidden/>
    <w:locked/>
    <w:rsid w:val="008C00C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00C8"/>
    <w:rPr>
      <w:b/>
      <w:bCs/>
    </w:rPr>
  </w:style>
  <w:style w:type="character" w:customStyle="1" w:styleId="CommentSubjectChar">
    <w:name w:val="Comment Subject Char"/>
    <w:basedOn w:val="CommentTextChar"/>
    <w:link w:val="CommentSubject"/>
    <w:uiPriority w:val="99"/>
    <w:semiHidden/>
    <w:locked/>
    <w:rsid w:val="008C00C8"/>
    <w:rPr>
      <w:rFonts w:cs="Times New Roman"/>
      <w:b/>
      <w:bCs/>
      <w:sz w:val="20"/>
      <w:szCs w:val="20"/>
    </w:rPr>
  </w:style>
  <w:style w:type="paragraph" w:styleId="ListParagraph">
    <w:name w:val="List Paragraph"/>
    <w:basedOn w:val="Normal"/>
    <w:uiPriority w:val="34"/>
    <w:qFormat/>
    <w:rsid w:val="0087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2845">
      <w:bodyDiv w:val="1"/>
      <w:marLeft w:val="0"/>
      <w:marRight w:val="0"/>
      <w:marTop w:val="0"/>
      <w:marBottom w:val="0"/>
      <w:divBdr>
        <w:top w:val="none" w:sz="0" w:space="0" w:color="auto"/>
        <w:left w:val="none" w:sz="0" w:space="0" w:color="auto"/>
        <w:bottom w:val="none" w:sz="0" w:space="0" w:color="auto"/>
        <w:right w:val="none" w:sz="0" w:space="0" w:color="auto"/>
      </w:divBdr>
    </w:div>
    <w:div w:id="1063211234">
      <w:marLeft w:val="0"/>
      <w:marRight w:val="0"/>
      <w:marTop w:val="0"/>
      <w:marBottom w:val="0"/>
      <w:divBdr>
        <w:top w:val="none" w:sz="0" w:space="0" w:color="auto"/>
        <w:left w:val="none" w:sz="0" w:space="0" w:color="auto"/>
        <w:bottom w:val="none" w:sz="0" w:space="0" w:color="auto"/>
        <w:right w:val="none" w:sz="0" w:space="0" w:color="auto"/>
      </w:divBdr>
    </w:div>
    <w:div w:id="1063211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2B70B470</Template>
  <TotalTime>21</TotalTime>
  <Pages>2</Pages>
  <Words>848</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7</cp:revision>
  <cp:lastPrinted>2014-07-29T12:53:00Z</cp:lastPrinted>
  <dcterms:created xsi:type="dcterms:W3CDTF">2015-07-31T09:09:00Z</dcterms:created>
  <dcterms:modified xsi:type="dcterms:W3CDTF">2015-07-31T11:21:00Z</dcterms:modified>
</cp:coreProperties>
</file>